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TÜKETICI HAKEM HEYETI KARARINA İTIRAZ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KARARI VEREN HAKEM HEYETININ BULUNDUĞU YERDEKI TÜKETICI MAHKEMESI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Mert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Banka / Satıcı / Sigorta A.Ş.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Başvuru No: 2026-80148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Tüketici Hakem Heyeti Kararına İtiraz Dilekçesi kapsamında hakem heyeti kararının kaldırılması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06.02.2026 — gerçek belge tarihini yazınız</w:t>
            </w:r>
          </w:p>
        </w:tc>
      </w:tr>
    </w:tbl>
    <w:p>
      <w:pPr>
        <w:pStyle w:val="Heading1"/>
      </w:pPr>
      <w:r>
        <w:t>AÇIKLAMALAR</w:t>
      </w:r>
    </w:p>
    <w:p>
      <w:pPr>
        <w:keepLines w:val="0"/>
        <w:ind w:firstLine="340"/>
      </w:pPr>
      <w:r>
        <w:rPr>
          <w:b/>
          <w:color w:val="1E3A8A"/>
        </w:rPr>
        <w:t xml:space="preserve">1. </w:t>
      </w:r>
      <w:r>
        <w:t>Örnek olayda Servis raporu dikkate alınmadan reddedilen ayıplı ürün başvurusuna karşı tüketici mahkemesine itiraz edilir. Başvurucu, uyuşmazlığı 06.02.2026 tarihinde öğrenmiş; ilk yazılı başvurusunu 15.03.2026 tarihinde yapmıştır. Bu tarihler yalnız örnek olup gerçek dosyadaki tebliğ, öğrenme veya işlem tarihleriyle değiştirilmelidir.</w:t>
      </w:r>
    </w:p>
    <w:p>
      <w:pPr>
        <w:keepLines w:val="0"/>
        <w:ind w:firstLine="340"/>
      </w:pPr>
      <w:r>
        <w:rPr>
          <w:b/>
          <w:color w:val="1E3A8A"/>
        </w:rPr>
        <w:t xml:space="preserve">2. </w:t>
      </w:r>
      <w:r>
        <w:t>Hakem heyeti ve karar numarası tarih, yer, kişi ve belge bağlantısıyla açıklanır. Hakem heyeti ve karar numarası bakımından olayın başlangıcı, tarafların sıfatı ve işlem tarihi birlikte gösterilmiştir. Bu olgu Hakem heyeti kararı ile doğrulanmakta; belge Ek-1 olarak sunulmaktadır.</w:t>
      </w:r>
    </w:p>
    <w:p>
      <w:pPr>
        <w:keepLines w:val="0"/>
        <w:ind w:firstLine="340"/>
      </w:pPr>
      <w:r>
        <w:rPr>
          <w:b/>
          <w:color w:val="1E3A8A"/>
        </w:rPr>
        <w:t xml:space="preserve">3. </w:t>
      </w:r>
      <w:r>
        <w:t>Tebliğ tarihi tarih, yer, kişi ve belge bağlantısıyla açıklanır. Tebliğ tarihi yönünden yalnız sonuç belirtilmemiş, işlemin nasıl gerçekleştiği ve başvurucunun hangi hakkının etkilendiği açıklanmıştır. Tebligat, iddiayı doğrulayan temel kayıt olarak Ek-2 numarasıyla dosyaya eklenmiştir.</w:t>
      </w:r>
    </w:p>
    <w:p>
      <w:pPr>
        <w:keepLines w:val="0"/>
        <w:ind w:firstLine="340"/>
      </w:pPr>
      <w:r>
        <w:rPr>
          <w:b/>
          <w:color w:val="1E3A8A"/>
        </w:rPr>
        <w:t xml:space="preserve">4. </w:t>
      </w:r>
      <w:r>
        <w:t>Kararın özeti tarih, yer, kişi ve belge bağlantısıyla açıklanır. Kararın özeti somutlaştırılırken tarih sırası korunmuş ve karşı tarafın ya da kurumun işlemi açıkça gösterilmiştir. Başvuru dosyası üzerinde yer alan tarih ve kayıt numarası dilekçedeki anlatımla uyumludur.</w:t>
      </w:r>
    </w:p>
    <w:p>
      <w:pPr>
        <w:keepLines w:val="0"/>
        <w:ind w:firstLine="340"/>
      </w:pPr>
      <w:r>
        <w:rPr>
          <w:b/>
          <w:color w:val="1E3A8A"/>
        </w:rPr>
        <w:t xml:space="preserve">5. </w:t>
      </w:r>
      <w:r>
        <w:t>Hatalı değerlendirilen deliller tarih, yer, kişi ve belge bağlantısıyla açıklanır. Hatalı değerlendirilen deliller başlığı altında başvurunun hukuki yararı açıklanmıştır. İstenen sonucun neden gerekli olduğu, Fatura/sözleşme ile talep arasındaki bağlantı kurularak gösterilmiştir.</w:t>
      </w:r>
    </w:p>
    <w:p>
      <w:pPr>
        <w:keepLines w:val="0"/>
        <w:ind w:firstLine="340"/>
      </w:pPr>
      <w:r>
        <w:rPr>
          <w:b/>
          <w:color w:val="1E3A8A"/>
        </w:rPr>
        <w:t xml:space="preserve">6. </w:t>
      </w:r>
      <w:r>
        <w:t>İstenen sonuç tarih, yer, kişi ve belge bağlantısıyla açıklanır. İstenen sonuç konusunda örnek olayın özel koşulları belirtilmiş; varsayıma dayalı ifade kullanılmamıştır. Servis ve uzman raporu mevcut değilse belgenin hangi kurumdan ve hangi dönem için getirtilmesi istendiği ayrıca yazılmalıdır.</w:t>
      </w:r>
    </w:p>
    <w:p>
      <w:pPr>
        <w:pStyle w:val="Heading1"/>
      </w:pPr>
      <w:r>
        <w:t>HUKUKİ DEĞERLENDİRME</w:t>
      </w:r>
    </w:p>
    <w:p>
      <w:r>
        <w:t>Başvurunun hukuki dayanağı 6502 sayılı Kanun m.70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6502 sayılı Kanun m.70</w:t>
      </w:r>
    </w:p>
    <w:p>
      <w:r>
        <w:t>6502 sayılı Kanun m.70 hükümleri başvurunun maddi ve usul şartlarını belirler. Güncel resmî metin, tebliğ ve işlem tarihinde birlikte değerlendirilir.</w:t>
      </w:r>
    </w:p>
    <w:p>
      <w:pPr>
        <w:pStyle w:val="Heading1"/>
      </w:pPr>
      <w:r>
        <w:t>DELİLLER</w:t>
      </w:r>
    </w:p>
    <w:p>
      <w:r>
        <w:t>1. Ek-1: Hakem heyeti kararı — ilgili olay paragrafını doğrulayan tarihli ve okunaklı kayıt.</w:t>
      </w:r>
    </w:p>
    <w:p>
      <w:r>
        <w:t>2. Ek-2: Tebligat — ilgili olay paragrafını doğrulayan tarihli ve okunaklı kayıt.</w:t>
      </w:r>
    </w:p>
    <w:p>
      <w:r>
        <w:t>3. Ek-3: Başvuru dosyası — ilgili olay paragrafını doğrulayan tarihli ve okunaklı kayıt.</w:t>
      </w:r>
    </w:p>
    <w:p>
      <w:r>
        <w:t>4. Ek-4: Fatura/sözleşme — ilgili olay paragrafını doğrulayan tarihli ve okunaklı kayıt.</w:t>
      </w:r>
    </w:p>
    <w:p>
      <w:r>
        <w:t>5. Ek-5: Servis ve uzman raporu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6502 sayılı Kanun m.70 ve somut olaya uygulanacak diğer mevzuat.</w:t>
      </w:r>
    </w:p>
    <w:p>
      <w:pPr>
        <w:pStyle w:val="Heading1"/>
      </w:pPr>
      <w:r>
        <w:t>SONUÇ VE İSTEM</w:t>
      </w:r>
    </w:p>
    <w:p>
      <w:pPr>
        <w:keepNext/>
      </w:pPr>
      <w:r>
        <w:t>Yukarıda açıklanan ve resen dikkate alınacak nedenlerle;</w:t>
      </w:r>
    </w:p>
    <w:p>
      <w:r>
        <w:t>1. Hakem heyeti kararının kaldırılması.</w:t>
      </w:r>
    </w:p>
    <w:p>
      <w:r>
        <w:t>2. Esas talebin kabulü.</w:t>
      </w:r>
    </w:p>
    <w:p>
      <w:r>
        <w:t>3. Dosyanın getirtilmesi.</w:t>
      </w:r>
    </w:p>
    <w:p>
      <w:r>
        <w:t>4. Yargılama giderleri.</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15.03.2026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Mert Yılmaz</w:t>
              <w:br/>
              <w:t>İmza</w:t>
            </w:r>
          </w:p>
        </w:tc>
      </w:tr>
    </w:tbl>
    <w:p>
      <w:pPr>
        <w:pStyle w:val="Heading1"/>
      </w:pPr>
      <w:r>
        <w:t>EKLER</w:t>
      </w:r>
    </w:p>
    <w:p>
      <w:r>
        <w:t>1. Hakem heyeti kararı</w:t>
      </w:r>
    </w:p>
    <w:p>
      <w:r>
        <w:t>2. Tebligat</w:t>
      </w:r>
    </w:p>
    <w:p>
      <w:r>
        <w:t>3. Başvuru dosyası</w:t>
      </w:r>
    </w:p>
    <w:p>
      <w:r>
        <w:t>4. Fatura/sözleşme</w:t>
      </w:r>
    </w:p>
    <w:p>
      <w:r>
        <w:t>5. Servis ve uzman raporu</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Kararı veren hakem heyetinin bulunduğu yerdeki tüketici mahkemesi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Kararın tebliğinden itibaren 15 gün.</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Tebligat tarihi, karar dosyası ve itiraz nedenleri delillerle açıkça gösterilir.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06.02.2026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Hakem heyeti kararı</w:t>
            </w:r>
          </w:p>
        </w:tc>
      </w:tr>
      <w:tr>
        <w:tc>
          <w:tcPr>
            <w:tcW w:type="dxa" w:w="3457"/>
            <w:tcMar>
              <w:top w:w="110" w:type="dxa"/>
              <w:start w:w="120" w:type="dxa"/>
              <w:bottom w:w="110" w:type="dxa"/>
              <w:end w:w="120" w:type="dxa"/>
            </w:tcMar>
          </w:tcPr>
          <w:p>
            <w:r>
              <w:t>15.03.2026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Tebligat</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Başvuru dosyası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Hakem heyeti ve karar numarası</w:t>
            </w:r>
          </w:p>
        </w:tc>
        <w:tc>
          <w:tcPr>
            <w:tcW w:type="dxa" w:w="3457"/>
            <w:tcMar>
              <w:top w:w="110" w:type="dxa"/>
              <w:start w:w="120" w:type="dxa"/>
              <w:bottom w:w="110" w:type="dxa"/>
              <w:end w:w="120" w:type="dxa"/>
            </w:tcMar>
          </w:tcPr>
          <w:p>
            <w:r>
              <w:t>Hakem heyeti kararı</w:t>
            </w:r>
          </w:p>
        </w:tc>
        <w:tc>
          <w:tcPr>
            <w:tcW w:type="dxa" w:w="3457"/>
            <w:tcMar>
              <w:top w:w="110" w:type="dxa"/>
              <w:start w:w="120" w:type="dxa"/>
              <w:bottom w:w="110" w:type="dxa"/>
              <w:end w:w="120" w:type="dxa"/>
            </w:tcMar>
          </w:tcPr>
          <w:p>
            <w:r>
              <w:t>Hakem heyeti kararının kaldırılması</w:t>
            </w:r>
          </w:p>
        </w:tc>
      </w:tr>
      <w:tr>
        <w:tc>
          <w:tcPr>
            <w:tcW w:type="dxa" w:w="3457"/>
            <w:tcMar>
              <w:top w:w="110" w:type="dxa"/>
              <w:start w:w="120" w:type="dxa"/>
              <w:bottom w:w="110" w:type="dxa"/>
              <w:end w:w="120" w:type="dxa"/>
            </w:tcMar>
          </w:tcPr>
          <w:p>
            <w:r>
              <w:t>Tebliğ tarihi</w:t>
            </w:r>
          </w:p>
        </w:tc>
        <w:tc>
          <w:tcPr>
            <w:tcW w:type="dxa" w:w="3457"/>
            <w:tcMar>
              <w:top w:w="110" w:type="dxa"/>
              <w:start w:w="120" w:type="dxa"/>
              <w:bottom w:w="110" w:type="dxa"/>
              <w:end w:w="120" w:type="dxa"/>
            </w:tcMar>
          </w:tcPr>
          <w:p>
            <w:r>
              <w:t>Tebligat</w:t>
            </w:r>
          </w:p>
        </w:tc>
        <w:tc>
          <w:tcPr>
            <w:tcW w:type="dxa" w:w="3457"/>
            <w:tcMar>
              <w:top w:w="110" w:type="dxa"/>
              <w:start w:w="120" w:type="dxa"/>
              <w:bottom w:w="110" w:type="dxa"/>
              <w:end w:w="120" w:type="dxa"/>
            </w:tcMar>
          </w:tcPr>
          <w:p>
            <w:r>
              <w:t>Esas talebin kabulü</w:t>
            </w:r>
          </w:p>
        </w:tc>
      </w:tr>
      <w:tr>
        <w:tc>
          <w:tcPr>
            <w:tcW w:type="dxa" w:w="3457"/>
            <w:tcMar>
              <w:top w:w="110" w:type="dxa"/>
              <w:start w:w="120" w:type="dxa"/>
              <w:bottom w:w="110" w:type="dxa"/>
              <w:end w:w="120" w:type="dxa"/>
            </w:tcMar>
          </w:tcPr>
          <w:p>
            <w:r>
              <w:t>Kararın özeti</w:t>
            </w:r>
          </w:p>
        </w:tc>
        <w:tc>
          <w:tcPr>
            <w:tcW w:type="dxa" w:w="3457"/>
            <w:tcMar>
              <w:top w:w="110" w:type="dxa"/>
              <w:start w:w="120" w:type="dxa"/>
              <w:bottom w:w="110" w:type="dxa"/>
              <w:end w:w="120" w:type="dxa"/>
            </w:tcMar>
          </w:tcPr>
          <w:p>
            <w:r>
              <w:t>Başvuru dosyası</w:t>
            </w:r>
          </w:p>
        </w:tc>
        <w:tc>
          <w:tcPr>
            <w:tcW w:type="dxa" w:w="3457"/>
            <w:tcMar>
              <w:top w:w="110" w:type="dxa"/>
              <w:start w:w="120" w:type="dxa"/>
              <w:bottom w:w="110" w:type="dxa"/>
              <w:end w:w="120" w:type="dxa"/>
            </w:tcMar>
          </w:tcPr>
          <w:p>
            <w:r>
              <w:t>Dosyanın getirtilmesi</w:t>
            </w:r>
          </w:p>
        </w:tc>
      </w:tr>
      <w:tr>
        <w:tc>
          <w:tcPr>
            <w:tcW w:type="dxa" w:w="3457"/>
            <w:tcMar>
              <w:top w:w="110" w:type="dxa"/>
              <w:start w:w="120" w:type="dxa"/>
              <w:bottom w:w="110" w:type="dxa"/>
              <w:end w:w="120" w:type="dxa"/>
            </w:tcMar>
          </w:tcPr>
          <w:p>
            <w:r>
              <w:t>Hatalı değerlendirilen deliller</w:t>
            </w:r>
          </w:p>
        </w:tc>
        <w:tc>
          <w:tcPr>
            <w:tcW w:type="dxa" w:w="3457"/>
            <w:tcMar>
              <w:top w:w="110" w:type="dxa"/>
              <w:start w:w="120" w:type="dxa"/>
              <w:bottom w:w="110" w:type="dxa"/>
              <w:end w:w="120" w:type="dxa"/>
            </w:tcMar>
          </w:tcPr>
          <w:p>
            <w:r>
              <w:t>Fatura/sözleşme</w:t>
            </w:r>
          </w:p>
        </w:tc>
        <w:tc>
          <w:tcPr>
            <w:tcW w:type="dxa" w:w="3457"/>
            <w:tcMar>
              <w:top w:w="110" w:type="dxa"/>
              <w:start w:w="120" w:type="dxa"/>
              <w:bottom w:w="110" w:type="dxa"/>
              <w:end w:w="120" w:type="dxa"/>
            </w:tcMar>
          </w:tcPr>
          <w:p>
            <w:r>
              <w:t>Yargılama giderleri</w:t>
            </w:r>
          </w:p>
        </w:tc>
      </w:tr>
      <w:tr>
        <w:tc>
          <w:tcPr>
            <w:tcW w:type="dxa" w:w="3457"/>
            <w:tcMar>
              <w:top w:w="110" w:type="dxa"/>
              <w:start w:w="120" w:type="dxa"/>
              <w:bottom w:w="110" w:type="dxa"/>
              <w:end w:w="120" w:type="dxa"/>
            </w:tcMar>
          </w:tcPr>
          <w:p>
            <w:r>
              <w:t>İstenen sonuç</w:t>
            </w:r>
          </w:p>
        </w:tc>
        <w:tc>
          <w:tcPr>
            <w:tcW w:type="dxa" w:w="3457"/>
            <w:tcMar>
              <w:top w:w="110" w:type="dxa"/>
              <w:start w:w="120" w:type="dxa"/>
              <w:bottom w:w="110" w:type="dxa"/>
              <w:end w:w="120" w:type="dxa"/>
            </w:tcMar>
          </w:tcPr>
          <w:p>
            <w:r>
              <w:t>Servis ve uzman raporu</w:t>
            </w:r>
          </w:p>
        </w:tc>
        <w:tc>
          <w:tcPr>
            <w:tcW w:type="dxa" w:w="3457"/>
            <w:tcMar>
              <w:top w:w="110" w:type="dxa"/>
              <w:start w:w="120" w:type="dxa"/>
              <w:bottom w:w="110" w:type="dxa"/>
              <w:end w:w="120" w:type="dxa"/>
            </w:tcMar>
          </w:tcPr>
          <w:p>
            <w:r>
              <w:t>Hakem heyeti kararının kaldırılması</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Kararın tebliğinden itibaren 15 gün.</w:t>
      </w:r>
    </w:p>
    <w:p>
      <w:r>
        <w:t>• Görev/yetki riski: Kararı veren hakem heyetinin bulunduğu yerdeki tüketici mahkemesi</w:t>
      </w:r>
    </w:p>
    <w:p>
      <w:r>
        <w:t>• Ön koşul riski: Tebligat tarihi, karar dosyası ve itiraz nedenleri delillerle açıkça gösterilir.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Tüketici Hakem Heyeti Kararına İtiraz Dilekçesi Örneği 2026 | Word İndir</dc:title>
  <dc:subject>tüketici hakem heyeti kararına itiraz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