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USULSÜZ TEBLIGAT ŞIKÂYETI VE ÖĞRENME TARIHININ DÜZELTILMESI DILEKÇESI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İCRA HUKUK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ŞİKÂYET EDEN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KARŞI TARAF / ALACAKLI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usulsüz tebligatın öğrenme tarihinde yapılmış sayılması ve buna bağlı sürelerin düzeltilmesi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[İCRA DAİRESİ/DOSYA NO] sayılı dosyada [TEBLİĞ EVRAKI] şikâyet edene [TEBLİĞ TARİHİ] tarihinde tebliğ edilmiş görünmektedir.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Tebligat, [USULSÜZLÜK: yanlış adres/komşuya haber verilmemesi/muhtara bırakma koşulları/aynı çatı kişisi] nedeniyle 7201 sayılı Kanun ve Yönetmelik hükümlerine uygun değildir.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Şikâyet eden takip/tebligattan fiilen [ÖĞRENME TARİHİ] tarihinde [BANKA BLOKESİ/UYAP/İCRA İŞLEMİ] yoluyla haberdar olmuştur.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Tebligat Kanunu m.32 uyarınca usulsüz tebliğ, muhatabın öğrendiğini beyan ettiği tarihte geçerli hâle gelir.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Öğrenme tarihi düzeltilmediğinde şikâyet edenin itiraz ve savunma hakları haksız biçimde süre aşımına uğramaktadır.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İcra dosyası ve tebligat mazbatası aslı getirtilerek usulsüzlük denetlenmelidir.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7201 sayılı Tebligat Kanunu m. 32; Tebligat Yönetmeliği m. 53; İİK m. 16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Tebligat mazbatası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İcra dosyası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MERNİS/adres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UYAP öğrenme kaydı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Banka haciz/bloke bildirimi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Tanık/komşu kayıtları gerekiyorsa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Tebligatın usulsüz olduğunun tespitine,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Tebliğ tarihinin fiili öğrenme tarihi olan [ÖĞRENME TARİHİ] olarak düzeltilmesine,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Buna bağlı yasal sürelerin öğrenme tarihine göre değerlendirilmesine,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Yargılama giderleri ve vekâlet ücretinin karşı tarafa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ŞİKÂYET EDEN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Tebligat mazbatası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İcra dosyası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MERNİS/adres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UYAP öğrenme kaydı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Banka haciz/bloke bildirimi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Tanık/komşu kayıtları gerekiyorsa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Usulsüz Tebligat Şikâyeti ve Öğrenme Tarihinin Düzeltilmesi Dilekçesi</dc:title>
  <dc:subject>Profesyonel örnek dilekçe – düzenlenebilir Word belgesi</dc:subject>
  <dc:creator>Av. Halil Bakırcı</dc:creator>
  <cp:lastModifiedBy>Av. Halil Bakırcı</cp:lastModifiedBy>
  <dcterms:created xsi:type="dcterms:W3CDTF">2026-09-10T22:19:01Z</dcterms:created>
  <dcterms:modified xsi:type="dcterms:W3CDTF">2026-09-10T22:19:01Z</dcterms:modified>
</cp:coreProperties>
</file>