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color w:val="102449"/>
          <w:sz w:val="30"/>
        </w:rPr>
        <w:t>6284 SAYILI KANUNA GÖRE UZAKLAŞTIRMA VE KORUMA TEDBIRI TALEP DILEKÇESI</w:t>
      </w:r>
    </w:p>
    <w:p>
      <w:pPr>
        <w:jc w:val="center"/>
      </w:pPr>
      <w:r>
        <w:rPr>
          <w:b/>
          <w:color w:val="C9A24D"/>
          <w:sz w:val="17"/>
        </w:rPr>
        <w:t>DÜZENLENEBİLİR WORD ŞABLONU • HUKUK KONTROLÜ: 2 Eylül 2026</w:t>
      </w:r>
    </w:p>
    <w:p>
      <w:pPr>
        <w:jc w:val="center"/>
      </w:pPr>
      <w:r>
        <w:rPr>
          <w:b/>
          <w:sz w:val="23"/>
        </w:rPr>
        <w:t>EN YAKIN AILE MAHKEMESI SAYIN HÂKİMLİĞİNE / MAKAMINA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6803"/>
      </w:tblGrid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KORUNAN/TALEP EDEN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[AD SOYAD / T.C. KİMLİK NO / ADRES]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ŞİDDET UYGULAYAN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[AD SOYAD veya UNVAN / T.C.-VKN / ADRES]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VEKİLİ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[VARSA AVUKAT ADI, BARO-SİCİL, ADRES]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DOSYA NO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[ESAS / İCRA / SORUŞTURMA / KARAR NUMARASI]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KONU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6284 sayılı Kanun uyarınca koruyucu ve önleyici tedbir kararı verilmesi istemidir.</w:t>
            </w:r>
          </w:p>
        </w:tc>
      </w:tr>
    </w:tbl>
    <w:p>
      <w:pPr>
        <w:pStyle w:val="Heading1"/>
      </w:pPr>
      <w:r>
        <w:t>AÇIKLAMALAR</w:t>
      </w:r>
    </w:p>
    <w:p>
      <w:pPr/>
      <w:r>
        <w:rPr>
          <w:b/>
        </w:rPr>
        <w:t xml:space="preserve">1. </w:t>
      </w:r>
      <w:r>
        <w:t>Bu başvuru 6284 sayılı Kanun m.5 uyarınca şiddet uygulayanın ortak konuttan uzaklaştırılması, yaklaşmaması, iletişim araçlarıyla rahatsız etmemesi, silahını teslim etmesi ve uygun diğer önleyici tedbirler talep edilir.</w:t>
      </w:r>
    </w:p>
    <w:p>
      <w:pPr/>
      <w:r>
        <w:rPr>
          <w:b/>
        </w:rPr>
        <w:t xml:space="preserve">2. </w:t>
      </w:r>
      <w:r>
        <w:t>Başvurucu [TARİH/YER] tarihinde [FİZİKSEL/PSİKOLOJİK/EKONOMİK/DİJİTAL] şiddete veya ısrarlı takibe maruz kaldı.</w:t>
      </w:r>
    </w:p>
    <w:p>
      <w:pPr/>
      <w:r>
        <w:rPr>
          <w:b/>
        </w:rPr>
        <w:t xml:space="preserve">3. </w:t>
      </w:r>
      <w:r>
        <w:t>Karşı taraf [TEHDİT/YAKLAŞMA/ARAMA/MESAJ/SİLAH] eylemini [SIKLIK] ile sürdürmektedir.</w:t>
      </w:r>
    </w:p>
    <w:p>
      <w:pPr/>
      <w:r>
        <w:rPr>
          <w:b/>
        </w:rPr>
        <w:t xml:space="preserve">4. </w:t>
      </w:r>
      <w:r>
        <w:t>Başvurucu ile [ÇOCUK/YAKIN] bakımından yakın ve ciddi güvenlik riski vardır.</w:t>
      </w:r>
    </w:p>
    <w:p>
      <w:pPr/>
      <w:r>
        <w:rPr>
          <w:b/>
        </w:rPr>
        <w:t xml:space="preserve">5. </w:t>
      </w:r>
      <w:r>
        <w:t>Talep edilen tedbirlerin kapsamı adres, işyeri, okul ve iletişim kanallarını açıkça içermelidir.</w:t>
      </w:r>
    </w:p>
    <w:p>
      <w:pPr/>
      <w:r>
        <w:rPr>
          <w:b/>
        </w:rPr>
        <w:t xml:space="preserve">6. </w:t>
      </w:r>
      <w:r>
        <w:t>Aşağıdaki kanuni düzenlemeler somut olaya doğrudan uygulanır:</w:t>
      </w:r>
    </w:p>
    <w:p>
      <w:pPr>
        <w:ind w:left="312"/>
      </w:pPr>
      <w:r>
        <w:rPr>
          <w:b/>
          <w:color w:val="1E3A8A"/>
        </w:rPr>
        <w:t xml:space="preserve">6284 sayılı Kanun m.2: </w:t>
      </w:r>
      <w:r>
        <w:t>Şiddet, şiddet mağduru ve tek taraflı ısrarlı takip kavramları kanunda geniş biçimde tanımlanır.</w:t>
      </w:r>
    </w:p>
    <w:p>
      <w:pPr>
        <w:ind w:left="312"/>
      </w:pPr>
      <w:r>
        <w:rPr>
          <w:b/>
          <w:color w:val="1E3A8A"/>
        </w:rPr>
        <w:t xml:space="preserve">6284 sayılı Kanun m.5: </w:t>
      </w:r>
      <w:r>
        <w:t>Hâkim şiddet uygulayan hakkında uzaklaştırma, yaklaşmama, iletişimle rahatsız etmeme ve diğer önleyici tedbirlere karar verebilir.</w:t>
      </w:r>
    </w:p>
    <w:p>
      <w:pPr>
        <w:ind w:left="312"/>
      </w:pPr>
      <w:r>
        <w:rPr>
          <w:b/>
          <w:color w:val="1E3A8A"/>
        </w:rPr>
        <w:t xml:space="preserve">6284 sayılı Kanun m.8: </w:t>
      </w:r>
      <w:r>
        <w:t>Tedbir kararı en çabuk ve kolay ulaşılabilen hâkim, mülki amir veya kolluk biriminden istenebilir; gecikmeye neden olacak ispat yükü kurulamaz.</w:t>
      </w:r>
    </w:p>
    <w:p>
      <w:pPr>
        <w:ind w:left="312"/>
      </w:pPr>
      <w:r>
        <w:rPr>
          <w:b/>
          <w:color w:val="1E3A8A"/>
        </w:rPr>
        <w:t xml:space="preserve">6284 sayılı Kanun m.12: </w:t>
      </w:r>
      <w:r>
        <w:t>Tedbir kararlarının uygulanmasında teknik araç ve yöntemlerden yararlanılabilir.</w:t>
      </w:r>
    </w:p>
    <w:p>
      <w:pPr>
        <w:pStyle w:val="Heading1"/>
      </w:pPr>
      <w:r>
        <w:t>HUKUKİ NEDENLER</w:t>
      </w:r>
    </w:p>
    <w:p>
      <w:r>
        <w:t>6284 sayılı Kanun m.2, 6284 sayılı Kanun m.5, 6284 sayılı Kanun m.8, 6284 sayılı Kanun m.12 ve ilgili diğer mevzuat.</w:t>
      </w:r>
    </w:p>
    <w:p>
      <w:pPr>
        <w:pStyle w:val="Heading1"/>
      </w:pPr>
      <w:r>
        <w:t>DELİLLER</w:t>
      </w:r>
    </w:p>
    <w:p>
      <w:pPr/>
      <w:r>
        <w:rPr>
          <w:b/>
        </w:rPr>
        <w:t xml:space="preserve">1. </w:t>
      </w:r>
      <w:r>
        <w:t>112/KADES ihbar kayıtları</w:t>
      </w:r>
    </w:p>
    <w:p>
      <w:pPr/>
      <w:r>
        <w:rPr>
          <w:b/>
        </w:rPr>
        <w:t xml:space="preserve">2. </w:t>
      </w:r>
      <w:r>
        <w:t>Polis tutanağı ve savcılık evrakı</w:t>
      </w:r>
    </w:p>
    <w:p>
      <w:pPr/>
      <w:r>
        <w:rPr>
          <w:b/>
        </w:rPr>
        <w:t xml:space="preserve">3. </w:t>
      </w:r>
      <w:r>
        <w:t>Sağlık raporu</w:t>
      </w:r>
    </w:p>
    <w:p>
      <w:pPr/>
      <w:r>
        <w:rPr>
          <w:b/>
        </w:rPr>
        <w:t xml:space="preserve">4. </w:t>
      </w:r>
      <w:r>
        <w:t>Mesaj, e-posta, arama kaydı ve kamera görüntüsü</w:t>
      </w:r>
    </w:p>
    <w:p>
      <w:pPr/>
      <w:r>
        <w:rPr>
          <w:b/>
        </w:rPr>
        <w:t xml:space="preserve">5. </w:t>
      </w:r>
      <w:r>
        <w:t>Tanık ve önceki tedbir kararları</w:t>
      </w:r>
    </w:p>
    <w:p>
      <w:pPr/>
      <w:r>
        <w:t>Karşı tarafın ve ilgili kurumların elindeki kayıtların celbi ile hukuka uygun her türlü delil.</w:t>
      </w:r>
    </w:p>
    <w:p>
      <w:pPr>
        <w:pStyle w:val="Heading1"/>
      </w:pPr>
      <w:r>
        <w:t>SONUÇ VE İSTEM</w:t>
      </w:r>
    </w:p>
    <w:p>
      <w:r>
        <w:t>Yukarıda açıklanan nedenlerle;</w:t>
      </w:r>
    </w:p>
    <w:p>
      <w:pPr>
        <w:ind w:left="283"/>
      </w:pPr>
      <w:r>
        <w:rPr>
          <w:b/>
        </w:rPr>
        <w:t xml:space="preserve">1. </w:t>
      </w:r>
      <w:r>
        <w:t>Karşı tarafın ortak konuttan derhâl uzaklaştırılması,</w:t>
      </w:r>
    </w:p>
    <w:p>
      <w:pPr>
        <w:ind w:left="283"/>
      </w:pPr>
      <w:r>
        <w:rPr>
          <w:b/>
        </w:rPr>
        <w:t xml:space="preserve">2. </w:t>
      </w:r>
      <w:r>
        <w:t>Konut, işyeri, okul ve belirtilen adreslere yaklaşmaması,</w:t>
      </w:r>
    </w:p>
    <w:p>
      <w:pPr>
        <w:ind w:left="283"/>
      </w:pPr>
      <w:r>
        <w:rPr>
          <w:b/>
        </w:rPr>
        <w:t xml:space="preserve">3. </w:t>
      </w:r>
      <w:r>
        <w:t>Telefon, mesaj, sosyal medya ve üçüncü kişiler üzerinden rahatsız etmemesi,</w:t>
      </w:r>
    </w:p>
    <w:p>
      <w:pPr>
        <w:ind w:left="283"/>
      </w:pPr>
      <w:r>
        <w:rPr>
          <w:b/>
        </w:rPr>
        <w:t xml:space="preserve">4. </w:t>
      </w:r>
      <w:r>
        <w:t>Varsa silahını kolluğa teslim etmesi,</w:t>
      </w:r>
    </w:p>
    <w:p>
      <w:pPr>
        <w:ind w:left="283"/>
      </w:pPr>
      <w:r>
        <w:rPr>
          <w:b/>
        </w:rPr>
        <w:t xml:space="preserve">5. </w:t>
      </w:r>
      <w:r>
        <w:t>Tedbirin uygun süreyle ve gecikmeksizin verilmesi,</w:t>
      </w:r>
    </w:p>
    <w:p>
      <w:pPr>
        <w:jc w:val="right"/>
      </w:pPr>
      <w:r>
        <w:t>karar verilmesini saygıyla arz ve talep ederim. [TARİH]</w:t>
      </w:r>
    </w:p>
    <w:p>
      <w:pPr>
        <w:jc w:val="right"/>
      </w:pPr>
      <w:r>
        <w:rPr>
          <w:b/>
        </w:rPr>
        <w:t>KORUNAN/TALEP EDEN</w:t>
        <w:br/>
        <w:t>[AD SOYAD]</w:t>
        <w:br/>
        <w:t>İmza / (E-İMZALIDIR)</w:t>
      </w:r>
    </w:p>
    <w:p>
      <w:pPr>
        <w:pStyle w:val="Heading1"/>
      </w:pPr>
      <w:r>
        <w:t>EKLER</w:t>
      </w:r>
    </w:p>
    <w:p>
      <w:pPr/>
      <w:r>
        <w:t>1. 112/KADES ihbar kayıtları</w:t>
      </w:r>
    </w:p>
    <w:p>
      <w:pPr/>
      <w:r>
        <w:t>2. Polis tutanağı ve savcılık evrakı</w:t>
      </w:r>
    </w:p>
    <w:p>
      <w:pPr/>
      <w:r>
        <w:t>3. Sağlık raporu</w:t>
      </w:r>
    </w:p>
    <w:p>
      <w:pPr/>
      <w:r>
        <w:t>4. Mesaj, e-posta, arama kaydı ve kamera görüntüsü</w:t>
      </w:r>
    </w:p>
    <w:p>
      <w:pPr/>
      <w:r>
        <w:t>5. Tanık ve önceki tedbir kararları</w:t>
      </w:r>
    </w:p>
    <w:p>
      <w:r>
        <w:br w:type="page"/>
      </w:r>
    </w:p>
    <w:p>
      <w:pPr>
        <w:jc w:val="center"/>
      </w:pPr>
      <w:r>
        <w:rPr>
          <w:b/>
          <w:color w:val="102449"/>
          <w:sz w:val="28"/>
        </w:rPr>
        <w:t>DOLDURMA VE DOSYALAMA KONTROLÜ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6803"/>
      </w:tblGrid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GÖREVLİ/YETKİLİ MERCİ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En yakın Aile Mahkemesi; gecikmesinde sakınca bulunan hâllerde kolluk amiri ve mülki amir kanundaki yetkileri kapsamında tedbir verebilir. Savcılık ve ŞÖNİM’e de başvuru yapılabilir.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SÜRE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Başvuru için hak düşürücü süre yoktur. Devam eden veya yakın şiddet tehlikesinde derhâl başvuru yapılır.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DAVA/BAŞVURU ŞARTI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Arabuluculuk yoktur; harç ve posta gideri alınmaz. Koruyucu tedbir için şiddetin gerçekleştiğine ilişkin belge aranmaz; mevcut deliller yine de eklenir.</w:t>
            </w:r>
          </w:p>
        </w:tc>
      </w:tr>
    </w:tbl>
    <w:p>
      <w:pPr>
        <w:pStyle w:val="Heading2"/>
      </w:pPr>
      <w:r>
        <w:t>Dilekçeye eklenmesi gereken somut bilgiler</w:t>
      </w:r>
    </w:p>
    <w:p>
      <w:pPr/>
      <w:r>
        <w:t>Başvurucu □ [TARİH/YER] tarihinde [FİZİKSEL/PSİKOLOJİK/EKONOMİK/DİJİTAL] şiddete veya ısrarlı takibe maruz kaldı.</w:t>
      </w:r>
    </w:p>
    <w:p>
      <w:pPr/>
      <w:r>
        <w:t>Karşı taraf □ [TEHDİT/YAKLAŞMA/ARAMA/MESAJ/SİLAH] eylemini [SIKLIK] ile sürdürmektedir.</w:t>
      </w:r>
    </w:p>
    <w:p>
      <w:pPr/>
      <w:r>
        <w:t>Başvurucu ile □ [ÇOCUK/YAKIN] bakımından yakın ve ciddi güvenlik riski vardır.</w:t>
      </w:r>
    </w:p>
    <w:p>
      <w:pPr/>
      <w:r>
        <w:t>Talep edilen tedbirlerin kapsamı adres, işyeri, okul ve iletişim kanallarını açıkça içermelidir.</w:t>
      </w:r>
    </w:p>
    <w:p>
      <w:pPr>
        <w:pStyle w:val="Heading2"/>
      </w:pPr>
      <w:r>
        <w:t>Başvuru öncesi kritik kontroller</w:t>
      </w:r>
    </w:p>
    <w:p>
      <w:pPr/>
      <w:r>
        <w:t>□ Güvenliğinizi riske atacak biçimde delil toplamaya çalışmayın; acil durumda 112’yi arayın.</w:t>
      </w:r>
    </w:p>
    <w:p>
      <w:pPr/>
      <w:r>
        <w:t>□ Adres gizliliği ihtiyacını dilekçede açıkça belirtin.</w:t>
      </w:r>
    </w:p>
    <w:p>
      <w:pPr/>
      <w:r>
        <w:t>□ Talep edilen mesafe ve yerleri somutlaştırın.</w:t>
      </w:r>
    </w:p>
    <w:p>
      <w:pPr>
        <w:pStyle w:val="Heading2"/>
      </w:pPr>
      <w:r>
        <w:t>Resmî mevzuat bağlantıları</w:t>
      </w:r>
    </w:p>
    <w:p>
      <w:hyperlink r:id="rId11">
        <w:r>
          <w:rPr>
            <w:color w:val="1e3a8a"/>
            <w:u w:val="single"/>
          </w:rPr>
          <w:t>6284 güncel metni</w:t>
        </w:r>
      </w:hyperlink>
    </w:p>
    <w:p>
      <w:hyperlink r:id="rId12">
        <w:r>
          <w:rPr>
            <w:color w:val="1e3a8a"/>
            <w:u w:val="single"/>
          </w:rPr>
          <w:t>4787 güncel metni</w:t>
        </w:r>
      </w:hyperlink>
    </w:p>
    <w:p>
      <w:pPr>
        <w:pStyle w:val="Heading2"/>
      </w:pPr>
      <w:r>
        <w:t>İlgili hukuk rehberleri</w:t>
      </w:r>
    </w:p>
    <w:p>
      <w:hyperlink r:id="rId13">
        <w:r>
          <w:rPr>
            <w:color w:val="1e3a8a"/>
            <w:u w:val="single"/>
          </w:rPr>
          <w:t>Uzaklaştırma kararı nasıl alınır?</w:t>
        </w:r>
      </w:hyperlink>
    </w:p>
    <w:p>
      <w:hyperlink r:id="rId14">
        <w:r>
          <w:rPr>
            <w:color w:val="1e3a8a"/>
            <w:u w:val="single"/>
          </w:rPr>
          <w:t>Konut dokunulmazlığını ihlal suçu</w:t>
        </w:r>
      </w:hyperlink>
    </w:p>
    <w:p>
      <w:hyperlink r:id="rId15">
        <w:r>
          <w:rPr>
            <w:color w:val="1e3a8a"/>
            <w:u w:val="single"/>
          </w:rPr>
          <w:t>Mersin ceza hukuku rehberi</w:t>
        </w:r>
      </w:hyperlink>
    </w:p>
    <w:p>
      <w:hyperlink r:id="rId16">
        <w:r>
          <w:rPr>
            <w:color w:val="1e3a8a"/>
            <w:u w:val="single"/>
          </w:rPr>
          <w:t>Randevu ve iletişim</w:t>
        </w:r>
      </w:hyperlink>
    </w:p>
    <w:p>
      <w:pPr>
        <w:pStyle w:val="BKNote"/>
      </w:pPr>
      <w:r>
        <w:rPr>
          <w:b/>
        </w:rPr>
        <w:t xml:space="preserve">Kullanım notu: </w:t>
      </w:r>
      <w:r>
        <w:t>Köşeli parantezli alanları dosyanıza göre doldurun; seçenekli taleplerden yalnız somut olaya uyanları bırakın. Bu kontrol sayfasını mahkemeye/kuruma sunmadan önce dilekçeden ayırın. Süre, görev, yetki ve dava şartı dosyanın özelliklerine göre son kez doğrulanmalıdır.</w:t>
      </w:r>
    </w:p>
    <w:p>
      <w:pPr>
        <w:jc w:val="center"/>
      </w:pPr>
      <w:hyperlink r:id="rId17">
        <w:r>
          <w:rPr>
            <w:color w:val="1e3a8a"/>
            <w:u w:val="single"/>
          </w:rPr>
          <w:t>halilbakirci.av.tr – Av. Halil Bakırcı</w:t>
        </w:r>
      </w:hyperlink>
    </w:p>
    <w:sectPr w:rsidR="00FC693F" w:rsidRPr="0006063C" w:rsidSect="00034616">
      <w:headerReference w:type="default" r:id="rId9"/>
      <w:footerReference w:type="default" r:id="rId10"/>
      <w:pgSz w:w="12240" w:h="15840"/>
      <w:pgMar w:top="964" w:right="1134" w:bottom="907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4748B"/>
        <w:sz w:val="15"/>
      </w:rPr>
      <w:t>İhsaniye Mahallesi, 4903. Sokak, Profit İş Merkezi No:23, Kat:3, Daire:14, 33070 Akdeniz/Mersin, Türkiye  •  +90 552 224 43 66</w:t>
    </w:r>
  </w:p>
  <w:p>
    <w:pPr>
      <w:jc w:val="center"/>
    </w:pPr>
    <w:r>
      <w:rPr>
        <w:rFonts w:ascii="Arial" w:hAnsi="Arial"/>
        <w:color w:val="64748B"/>
        <w:sz w:val="15"/>
      </w:rPr>
      <w:t xml:space="preserve">Sayfa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/>
        <w:b/>
        <w:color w:val="1E3A8A"/>
        <w:sz w:val="17"/>
      </w:rPr>
      <w:t>BAKIRCI &amp; KESKİN HUKUK BÜROSU  •  HALILBAKIRCI.AV.TR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 w:eastAsia="Arial"/>
      <w:color w:val="1720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10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102449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10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1E3A8A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00" w:line="240" w:lineRule="auto" w:before="160"/>
      <w:contextualSpacing/>
    </w:pPr>
    <w:rPr>
      <w:rFonts w:asciiTheme="majorHAnsi" w:eastAsiaTheme="majorEastAsia" w:hAnsiTheme="majorHAnsi" w:cstheme="majorBidi" w:ascii="Arial" w:hAnsi="Arial" w:eastAsia="Arial"/>
      <w:b/>
      <w:color w:val="102449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BKNote">
    <w:name w:val="BK Note"/>
    <w:pPr>
      <w:spacing w:before="80" w:after="80"/>
      <w:ind w:left="227" w:right="227"/>
    </w:pPr>
    <w:rPr>
      <w:rFonts w:ascii="Arial" w:hAnsi="Arial"/>
      <w:color w:val="475569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mevzuat.gov.tr/mevzuatmetin/1.5.6284.pdf" TargetMode="External"/><Relationship Id="rId12" Type="http://schemas.openxmlformats.org/officeDocument/2006/relationships/hyperlink" Target="https://www.mevzuat.gov.tr/mevzuatmetin/1.5.4787.pdf" TargetMode="External"/><Relationship Id="rId13" Type="http://schemas.openxmlformats.org/officeDocument/2006/relationships/hyperlink" Target="https://halilbakirci.av.tr/uzaklastirma-karari-nasil-alinir/" TargetMode="External"/><Relationship Id="rId14" Type="http://schemas.openxmlformats.org/officeDocument/2006/relationships/hyperlink" Target="https://halilbakirci.av.tr/konut-dokunulmazligini-ihlal-tck-116/" TargetMode="External"/><Relationship Id="rId15" Type="http://schemas.openxmlformats.org/officeDocument/2006/relationships/hyperlink" Target="https://halilbakirci.av.tr/mersin-ceza-avukati-bul/" TargetMode="External"/><Relationship Id="rId16" Type="http://schemas.openxmlformats.org/officeDocument/2006/relationships/hyperlink" Target="https://halilbakirci.av.tr/iletisim/" TargetMode="External"/><Relationship Id="rId17" Type="http://schemas.openxmlformats.org/officeDocument/2006/relationships/hyperlink" Target="https://halilbakirci.av.t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6284 Sayılı Kanuna Göre Uzaklaştırma ve Koruma Tedbiri Talep Dilekçesi</dc:title>
  <dc:subject>uzaklaştırma kararı dilekçesi</dc:subject>
  <dc:creator>Av. Halil Bakırcı</dc:creator>
  <cp:keywords>uzaklaştırma kararı dilekçesi, dilekçe örneği, Word indir, Aile Hukuku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