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074</w:t>
      </w:r>
    </w:p>
    <w:p>
      <w:pPr>
        <w:pStyle w:val="Title"/>
        <w:jc w:val="center"/>
      </w:pPr>
      <w:r>
        <w:t>Vasi Tayini Dilekçesi Örneği</w:t>
      </w:r>
    </w:p>
    <w:p>
      <w:pPr>
        <w:jc w:val="center"/>
      </w:pPr>
      <w:r>
        <w:rPr>
          <w:i/>
          <w:color w:val="475569"/>
        </w:rPr>
        <w:t>Aile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Kısıtlanması istenen kişinin yerleşim yerindeki sulh hukuk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Vesayet ihtiyacı doğduğunda başvurulur; sabit bir genel hak düşürücü süre yoktur.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Kısıtlama nedeni ile vasi adayının uygunluğu birbirinden ayrı incelenmelidir.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TMK m. 404-418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Kısıtlama nedeni, sağlık ve işlevsellik durumu ile önerilen vasinin uygunluğu resmî belgelerle gösterilmelidir.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KISITLANMASI ISTENEN KIŞININ YERLEŞIM YERINDEKI SULH HUKUK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Kısıtlama kararı.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Vesayet ihtiyacı doğduğunda başvurulur; sabit bir genel hak düşürücü süre yoktur.</w:t>
      </w:r>
    </w:p>
    <w:p>
      <w:r>
        <w:t>2. Vesayet altına alınması istenen kişi: [SOMUT OLAYI TARİH, YER, KİŞİ VE BELGEYLE UYUMLU OLARAK AÇIKLAYIN].</w:t>
      </w:r>
    </w:p>
    <w:p>
      <w:r>
        <w:t>3. Kısıtlama nedeni: [SOMUT OLAYI TARİH, YER, KİŞİ VE BELGEYLE UYUMLU OLARAK AÇIKLAYIN].</w:t>
      </w:r>
    </w:p>
    <w:p>
      <w:r>
        <w:t>4. Sağlık ve işlevsellik durumu: [SOMUT OLAYI TARİH, YER, KİŞİ VE BELGEYLE UYUMLU OLARAK AÇIKLAYIN].</w:t>
      </w:r>
    </w:p>
    <w:p>
      <w:r>
        <w:t>5. Yakınların görüşü: [SOMUT OLAYI TARİH, YER, KİŞİ VE BELGEYLE UYUMLU OLARAK AÇIKLAYIN].</w:t>
      </w:r>
    </w:p>
    <w:p>
      <w:r>
        <w:t>6. Vasi adayının uygunluğu: [SOMUT OLAYI TARİH, YER, KİŞİ VE BELGEYLE UYUMLU OLARAK AÇIKLAYIN].</w:t>
      </w:r>
    </w:p>
    <w:p>
      <w:r>
        <w:t>7. Temel hukuki sonuç: Kısıtlama nedeni, sağlık ve işlevsellik durumu ile önerilen vasinin uygunluğu resmî belgelerle gösterilmelidir.</w:t>
      </w:r>
    </w:p>
    <w:p>
      <w:r>
        <w:t>8. Başvuru öncesi kontrol: Kısıtlama nedeni ile vasi adayının uygunluğu birbirinden ayrı incelenmelidir.</w:t>
      </w:r>
    </w:p>
    <w:p>
      <w:pPr>
        <w:pStyle w:val="Heading1"/>
      </w:pPr>
      <w:r>
        <w:t>HUKUKİ NEDENLER</w:t>
      </w:r>
    </w:p>
    <w:p>
      <w:r>
        <w:t>TMK m. 404-418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Nüfus kayıtları [EK NUMARASI / TARİH]</w:t>
      </w:r>
    </w:p>
    <w:p>
      <w:pPr>
        <w:pStyle w:val="ListBullet"/>
        <w:spacing w:after="60"/>
      </w:pPr>
      <w:r>
        <w:t>Sağlık kurulu raporu [EK NUMARASI / TARİH]</w:t>
      </w:r>
    </w:p>
    <w:p>
      <w:pPr>
        <w:pStyle w:val="ListBullet"/>
        <w:spacing w:after="60"/>
      </w:pPr>
      <w:r>
        <w:t>Sosyal inceleme belgeleri [EK NUMARASI / TARİH]</w:t>
      </w:r>
    </w:p>
    <w:p>
      <w:pPr>
        <w:pStyle w:val="ListBullet"/>
        <w:spacing w:after="60"/>
      </w:pPr>
      <w:r>
        <w:t>Malvarlığı kayıtları [EK NUMARASI / TARİH]</w:t>
      </w:r>
    </w:p>
    <w:p>
      <w:pPr>
        <w:pStyle w:val="ListBullet"/>
        <w:spacing w:after="60"/>
      </w:pPr>
      <w:r>
        <w:t>Yakınlık ve sabıka belgeleri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Kısıtlama kararı,</w:t>
      </w:r>
    </w:p>
    <w:p>
      <w:r>
        <w:t>2. Uygun vasinin atanması,</w:t>
      </w:r>
    </w:p>
    <w:p>
      <w:r>
        <w:t>3. Gerekli koruyucu tedbirlerin alınması,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Nüfus kayıtları</w:t>
      </w:r>
    </w:p>
    <w:p>
      <w:r>
        <w:t>2. Sağlık kurulu raporu</w:t>
      </w:r>
    </w:p>
    <w:p>
      <w:r>
        <w:t>3. Sosyal inceleme belgeleri</w:t>
      </w:r>
    </w:p>
    <w:p>
      <w:r>
        <w:t>4. Malvarlığı kayıtları</w:t>
      </w:r>
    </w:p>
    <w:p>
      <w:r>
        <w:t>5. Yakınlık ve sabıka belgeleri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Vesayet ihtiyacı doğduğunda başvurulur; sabit bir genel hak düşürücü süre yoktur.</w:t>
      </w:r>
    </w:p>
    <w:p>
      <w:pPr>
        <w:pStyle w:val="Heading1"/>
      </w:pPr>
      <w:r>
        <w:t>Görev ve Yetki Kontrolü</w:t>
      </w:r>
    </w:p>
    <w:p>
      <w:r>
        <w:t>Kısıtlanması istenen kişinin yerleşim yerindeki sulh hukuk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Vesayet altına alınması istenen kişi → Nüfus kayıtları</w:t>
      </w:r>
    </w:p>
    <w:p>
      <w:pPr>
        <w:pStyle w:val="ListBullet"/>
        <w:spacing w:after="60"/>
      </w:pPr>
      <w:r>
        <w:t>Kısıtlama nedeni → Sağlık kurulu raporu</w:t>
      </w:r>
    </w:p>
    <w:p>
      <w:pPr>
        <w:pStyle w:val="ListBullet"/>
        <w:spacing w:after="60"/>
      </w:pPr>
      <w:r>
        <w:t>Sağlık ve işlevsellik durumu → Sosyal inceleme belgeleri</w:t>
      </w:r>
    </w:p>
    <w:p>
      <w:pPr>
        <w:pStyle w:val="ListBullet"/>
        <w:spacing w:after="60"/>
      </w:pPr>
      <w:r>
        <w:t>Yakınların görüşü → Malvarlığı kayıtları</w:t>
      </w:r>
    </w:p>
    <w:p>
      <w:pPr>
        <w:pStyle w:val="ListBullet"/>
        <w:spacing w:after="60"/>
      </w:pPr>
      <w:r>
        <w:t>Vasi adayının uygunluğu → Yakınlık ve sabıka belgeleri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Vasi Tayini Dilekçesi Örneği</dc:title>
  <dc:subject>Aile Hukuku</dc:subject>
  <dc:creator>Av. Halil Bakırcı</dc:creator>
  <cp:keywords>vasi tayini dilekçesi örneği, Word dilekçe, Aile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