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0" w:after="100" w:line="276" w:lineRule="auto"/>
      </w:pPr>
      <w:r>
        <w:rPr>
          <w:rFonts w:ascii="Times New Roman" w:hAnsi="Times New Roman" w:eastAsia="Times New Roman"/>
          <w:b/>
          <w:sz w:val="18"/>
          <w:szCs w:val="18"/>
        </w:rPr>
        <w:t xml:space="preserve">PRO ÖRNEK DİLEKÇE — YAKALAMA EMRININ KALDIRILMASI DILEKÇESI ÖRNEĞI</w:t>
      </w:r>
    </w:p>
    <w:p>
      <w:pPr>
        <w:jc w:val="center"/>
        <w:spacing w:before="120" w:after="220" w:line="276" w:lineRule="auto"/>
      </w:pPr>
      <w:r>
        <w:rPr>
          <w:rFonts w:ascii="Times New Roman" w:hAnsi="Times New Roman" w:eastAsia="Times New Roman"/>
          <w:b/>
          <w:sz w:val="25"/>
          <w:szCs w:val="25"/>
        </w:rPr>
        <w:t xml:space="preserve">[YAKALAMA EMRİNİ VEREN] CEZA MAHKEMESİ’NE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SANIK / ŞÜPHELİ	: </w:t>
      </w:r>
      <w:r>
        <w:rPr>
          <w:rFonts w:ascii="Times New Roman" w:hAnsi="Times New Roman" w:eastAsia="Times New Roman"/>
          <w:sz w:val="23"/>
          <w:szCs w:val="23"/>
        </w:rPr>
        <w:t xml:space="preserve">[AD SOYAD / T.C. KİMLİK NO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VEKİLİ	: </w:t>
      </w:r>
      <w:r>
        <w:rPr>
          <w:rFonts w:ascii="Times New Roman" w:hAnsi="Times New Roman" w:eastAsia="Times New Roman"/>
          <w:sz w:val="23"/>
          <w:szCs w:val="23"/>
        </w:rPr>
        <w:t xml:space="preserve">Av. Halil Bakırcı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KAMU	: </w:t>
      </w:r>
      <w:r>
        <w:rPr>
          <w:rFonts w:ascii="Times New Roman" w:hAnsi="Times New Roman" w:eastAsia="Times New Roman"/>
          <w:sz w:val="23"/>
          <w:szCs w:val="23"/>
        </w:rPr>
        <w:t xml:space="preserve">[AD SOYAD / UNVAN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 / DOSYA NO	: </w:t>
      </w:r>
      <w:r>
        <w:rPr>
          <w:rFonts w:ascii="Times New Roman" w:hAnsi="Times New Roman" w:eastAsia="Times New Roman"/>
          <w:sz w:val="23"/>
          <w:szCs w:val="23"/>
        </w:rPr>
        <w:t xml:space="preserve">[VARSA ESAS / TAKİP / BAŞVURU NO]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KONU	: </w:t>
      </w:r>
      <w:r>
        <w:rPr>
          <w:rFonts w:ascii="Times New Roman" w:hAnsi="Times New Roman" w:eastAsia="Times New Roman"/>
          <w:sz w:val="23"/>
          <w:szCs w:val="23"/>
        </w:rPr>
        <w:t xml:space="preserve">yakalama emrinin dayanağı kalmadığı veya kişinin hazır olmayı taahhüt ettiği durumda emrin kaldırılması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USUL / KULLANIM NOTU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Köşeli parantezli alanlar gerçek dosya bilgileriyle değiştirilmelidir. Somut dosyada bulunmayan vakıa ve deliller çıkarılmalıdır. Bu profesyonel örnek, ilgili uyuşmazlığın usul ve maddi hukuk özelliklerine göre uyarlanmalıdır.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AÇIKLAMALAR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1. Müvekkil hakkında Mahkemenizin [DOSYA NO] sayılı dosyasında [KARAR TARİHİ] tarihinde yakalama emri düzenlenmiştir.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2. Müvekkilin önceki duruşmaya/işleme katılamaması [MAZERET] nedenine dayanmakta olup yargılamadan kaçma amacı bulunmamaktadır.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3. Müvekkilin güncel adresi [ADRES] olup bundan sonraki tüm çağrı ve tebligatlara uyacağını açıkça bildirmektedir.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4. Yakalama emrinin devamı seyahat, çalışma ve aile hayatı bakımından ölçüsüz sonuçlar doğurmakta; amaç daha hafif usuli yöntemlerle sağlanabilmektedir.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5. Müvekkilin ifadesi/savunması SEGBİS veya belirlenecek duruşmada alınabilir; bu nedenle zorla yakalama tedbirinin devamı gerekli değildir.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6. Dosyanın geldiği aşama ve hazır bulunma iradesi dikkate alınarak yakalama emrinin kaldırılması gerekmektedir.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HUKUKİ NEDENLER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5271 sayılı CMK m. 98 ve ilgili hükümler ve somut olaya uygulanacak sair mevzuat.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DELİLLER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Yakalama emri kararı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Dosya/duruşma tutanakları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Mazeret belgeleri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4. İkametgâh ve iletişim bilgileri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5. Çalışma/sağlık belgeleri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Her türlü yasal delil; karşı tarafın sunacağı delillere karşı delil sunma hakkımız saklıdır.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SONUÇ VE İSTEM</w:t>
      </w:r>
    </w:p>
    <w:p>
      <w:pPr>
        <w:jc w:val="both"/>
        <w:spacing w:before="0" w:after="10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Yukarıda arz ve izah edilen nedenlerle ve Mahkemenizce re’sen gözetilecek hususlar saklı kalmak kaydıyla;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Yakalama emrinin kaldırılmasına,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Savunmanın belirlenecek duruşmada veya uygun görülürse SEGBİS yoluyla alınmasına,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Yeni adres ve iletişim bilgilerinin dosyaya kaydına,</w:t>
      </w:r>
    </w:p>
    <w:p>
      <w:pPr>
        <w:jc w:val="both"/>
        <w:spacing w:before="0" w:after="2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karar verilmesini saygıyla vekâleten arz ve talep ederiz. [TARİH]</w:t>
      </w:r>
    </w:p>
    <w:p>
      <w:pPr>
        <w:jc w:val="right"/>
        <w:spacing w:before="0" w:after="20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SANIK / ŞÜPHELİ Vekili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Av. Halil Bakırcı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(E-İMZALIDIR / Islak imza gerektiren kullanımda imzalanır)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EKLER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Ek-1: Yakalama emri kararı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Ek-2: Dosya/duruşma tutanakları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Ek-3: Mazeret belgeleri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Ek-4: İkametgâh ve iletişim bilgileri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Ek-5: Çalışma/sağlık belgeleri</w:t>
      </w:r>
    </w:p>
    <w:p>
      <w:r>
        <w:br w:type="page"/>
      </w:r>
    </w:p>
    <w:p>
      <w:pPr>
        <w:jc w:val="center"/>
        <w:spacing w:before="0" w:after="160" w:line="276" w:lineRule="auto"/>
      </w:pPr>
      <w:r>
        <w:rPr>
          <w:rFonts w:ascii="Times New Roman" w:hAnsi="Times New Roman" w:eastAsia="Times New Roman"/>
          <w:b/>
          <w:sz w:val="24"/>
          <w:szCs w:val="24"/>
        </w:rPr>
        <w:t xml:space="preserve">DOSYAYA UYARLAMA VE SON KONTROL SAYFASI</w:t>
      </w:r>
    </w:p>
    <w:p>
      <w:pPr>
        <w:jc w:val="both"/>
        <w:spacing w:before="0" w:after="14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Bu sayfa mahkemeye sunulmaz. Dilekçe örneğini kullanmadan önce aşağıdaki alanları gerçek dosya bilgileriyle değiştirin ve görev, yetki, süre, dava şartı ile vekâlet ilişkisini doğrulayın.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Mahkeme/merci adı ve yetkili yer gerçek dosyaya göre düzeltildi.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Esas/karar, icra, başvuru ve işlem numaraları gerçek kayıtlarla eşleştirildi.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Taraf adları, T.C. kimlik/vergi numaraları ve tebligat adresleri kontrol edildi.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Tarih, tutar, faiz başlangıcı ve süre hesabı tebliğ/öğrenme belgelerine göre yapıldı.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Her olayın karşısında onu ispatlayan belge veya celp talebi bulunuyor.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Ekler numaralandırıldı; elektronik belgelerin asılları ve doğrulama bilgileri korundu.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Sonuç ve istem, yalnız gerçekten talep edilen hukuki sonuçları içeriyor.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“Vekili Av. Halil Bakırcı” ibaresi yalnız gerçek vekâlet ilişkisi ve geçerli vekâletname varsa somut başvuruda vekil sıfatıyla kullanılmalıdır.</w:t>
      </w:r>
    </w:p>
    <w:p>
      <w:pPr>
        <w:jc w:val="left"/>
        <w:spacing w:before="12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Belge kaynağı: halilbakirci.av.tr — Bakırcı &amp; Keskin Hukuk Bürosu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Hazırlayan / hukuki inceleme: Av. Halil Bakırcı, Mersin Barosu Sicil No: 3472</w:t>
      </w:r>
    </w:p>
    <w:sectPr>
      <w:footerReference w:type="default" r:id="rId2"/>
      <w:pgSz w:w="11906" w:h="16838"/>
      <w:pgMar w:top="1247" w:right="1134" w:bottom="1134" w:left="1417" w:header="454" w:footer="454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Times New Roman" w:hAnsi="Times New Roman" w:eastAsia="Times New Roman"/>
        <w:sz w:val="16"/>
        <w:szCs w:val="16"/>
      </w:rPr>
      <w:t xml:space="preserve">Örnek Dilekçe • Av. Halil Bakırcı • Mersin Barosu Sicil No: 3472 • halilbakirci.av.tr • Sayfa </w:t>
    </w:r>
    <w:r>
      <w:rPr>
        <w:rFonts w:ascii="Times New Roman" w:hAnsi="Times New Roman"/>
        <w:sz w:val="16"/>
      </w:rPr>
      <w:fldChar w:fldCharType="begin"/>
    </w:r>
    <w:r>
      <w:instrText xml:space="preserve"> PAGE </w:instrTex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/>
        <w:sz w:val="23"/>
        <w:szCs w:val="23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Bakırcı &amp; Keskin Hukuk Bürosu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Yakalama Emrinin Kaldırılması Dilekçesi Örneği</dc:title>
  <dc:subject>Profesyonel örnek dilekçe – düzenlenebilir Word belgesi</dc:subject>
  <dc:creator>Av. Halil Bakırcı</dc:creator>
  <cp:lastModifiedBy>Av. Halil Bakırcı</cp:lastModifiedBy>
  <dcterms:created xsi:type="dcterms:W3CDTF">2026-09-10T22:16:31Z</dcterms:created>
  <dcterms:modified xsi:type="dcterms:W3CDTF">2026-09-10T22:16:31Z</dcterms:modified>
</cp:coreProperties>
</file>