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[MÜFLİS YAYIMCI] İFLAS İDARESİNE</w:t>
      </w:r>
    </w:p>
    <w:p>
      <w:pPr>
        <w:widowControl/>
      </w:pPr>
      <w:r>
        <w:t>İflas dosyası: [Gerçek daire ve dosya numarası]</w:t>
        <w:br/>
        <w:t>Bildiren yayımlatan: [Ad soyad/unvan, adres, sıfat]</w:t>
        <w:br/>
        <w:t>İlgili yayımcı: [Sözleşmedeki gerçek unvan]</w:t>
        <w:br/>
        <w:t>Konu: TBK m.500/2 kapsamında [belirli eseri] başka yayımcıya verme hakkının kullanılması ve açıklamanın dosyaya kaydı.</w:t>
      </w:r>
    </w:p>
    <w:p>
      <w:pPr>
        <w:keepNext/>
        <w:widowControl/>
      </w:pPr>
      <w:r>
        <w:rPr>
          <w:b/>
        </w:rPr>
        <w:t>Açıklamalar</w:t>
      </w:r>
    </w:p>
    <w:p>
      <w:pPr>
        <w:widowControl/>
      </w:pPr>
      <w:r>
        <w:t>1. [Yazılı sözleşme tarihi, eser adı ve kapsam] yayım ilişkisinin dayanağıdır. Sözleşme ve sıfat belgeleri Ek 1'dedir. [Gerçek mahkeme, karar ve iflas açılma anı] Ek 2'de gösterilmiştir.</w:t>
      </w:r>
    </w:p>
    <w:p>
      <w:pPr>
        <w:widowControl/>
      </w:pPr>
      <w:r>
        <w:t>2. İflas anındaki sözleşme borçlarının konusu ve muacceliyet kayıtları Ek 3'tedir. İflas anında henüz muaccel olmamış borcun yerine getirilmesine ilişkin m.500/2 kapsamındaki güvence istisnasının bulunmadığı [gerçek belge, açıklama ve kapsam] ile gösterilmiştir. Kullanılan kaynaklar Ek 4'tedir.</w:t>
      </w:r>
    </w:p>
    <w:p>
      <w:pPr>
        <w:widowControl/>
      </w:pPr>
      <w:r>
        <w:t>3. Bildirim [belirli eser ve ilgili kapsam] ile sınırlıdır. Başka yayımcıya verme açıklamasına esas eser sürümü [gerçek kayıt]dır. Önceki kullanım, mevcut stok ve hesaplar kendi gerçek kayıtlarıyla ayrılmıştır.</w:t>
      </w:r>
    </w:p>
    <w:p>
      <w:pPr>
        <w:keepNext/>
        <w:widowControl/>
      </w:pPr>
      <w:r>
        <w:rPr>
          <w:b/>
        </w:rPr>
        <w:t>Bildirim ve talepler</w:t>
      </w:r>
    </w:p>
    <w:p>
      <w:pPr>
        <w:widowControl/>
      </w:pPr>
      <w:r>
        <w:t>TBK m.500/2 uyarınca belirtilen eseri başka yayımcıya verme hakkımı kullanacağımı bildiririm. Açıklamamın ilgili iflas dosyasına kaydını; bildirimin konu ve kaynakları bakımından farklı bir güvence kaydı bulunduğu ileri sürülüyorsa ilgili borç ve belge kapsamının tarafıma açıklanmasını talep ederim. Bu bildirim para alacağının iflas masasına kaydı veya mevcut nüshaların teslimine ilişkin ayrı işlemin yerine geçmez.</w:t>
      </w:r>
    </w:p>
    <w:p>
      <w:pPr>
        <w:widowControl/>
      </w:pPr>
      <w:r>
        <w:t>Ekler: 1. Sözleşme ve sıfat. 2. İflas kararı ve dosya kaydı. 3. İflas anındaki borç çizelgesi. 4. Güvence incelemesinin gerçek kaynakları. 5. Eser ve kullanım kapsamı. 6. Temsil belgesi [gerçekte varsa].</w:t>
        <w:br/>
        <w:t>Tarih: [Gerçek tarih]</w:t>
        <w:br/>
        <w:t>Bildiren: [Ad soyad/unvan ve yetkili imza]</w:t>
      </w:r>
    </w:p>
    <w:p>
      <w:pPr>
        <w:widowControl/>
      </w:pPr>
      <w:r>
        <w:br w:type="page"/>
      </w:r>
    </w:p>
    <w:p>
      <w:pPr>
        <w:pStyle w:val="Title"/>
        <w:widowControl/>
      </w:pPr>
      <w:r>
        <w:t>İflas, borç ve güvence kontrolü</w:t>
      </w:r>
    </w:p>
    <w:p>
      <w:pPr>
        <w:widowControl/>
      </w:pPr>
      <w:r>
        <w:t>TBK 500/2 güvence istisnası kaynaklarıyla incelenir. Bu hak kullanma örneği, istisnanın bulunmadığı doğrulanmış dosya içindir.</w:t>
      </w:r>
    </w:p>
    <w:p>
      <w:pPr>
        <w:pStyle w:val="Heading1"/>
        <w:widowControl/>
      </w:pPr>
      <w:r>
        <w:t>Ek A Eser ve iflas kaydı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[Eser / taraflar]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[İmzalı metin]</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sürüm]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İflas</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[Mahkeme / karar]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[Açılma anı]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yayımcı]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Muhatap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[Dosya / aşama]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idare]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[Tasfiye türü]</w:t>
            </w:r>
          </w:p>
        </w:tc>
      </w:tr>
    </w:tbl>
    <w:p>
      <w:pPr>
        <w:widowControl/>
      </w:pPr>
    </w:p>
    <w:p>
      <w:pPr>
        <w:pStyle w:val="Heading1"/>
        <w:widowControl/>
      </w:pPr>
      <w:r>
        <w:t>Ek B Borç ve güvence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Durum /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Borç</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[Edim / sözleşme]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[İfa zamanı]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eser]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Muacceliyet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[İflas anı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durum]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[Sonraki vade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Güvence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 cevap]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kapsam]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[M.500/2 istisnası]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yayım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[Eser / hak alanı]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işlem]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[Eski stok ayrı]</w:t>
            </w:r>
          </w:p>
        </w:tc>
      </w:tr>
    </w:tbl>
    <w:p>
      <w:pPr>
        <w:widowControl/>
      </w:pPr>
    </w:p>
    <w:p>
      <w:pPr>
        <w:pStyle w:val="Heading1"/>
        <w:widowControl/>
      </w:pPr>
      <w:r>
        <w:t>Kanuni koşul</w:t>
      </w:r>
    </w:p>
    <w:p>
      <w:pPr>
        <w:widowControl/>
      </w:pPr>
      <w:r>
        <w:t>Yayımcı iflas ederse eser başka yayımcıya verilebilir. Ancak iflas anında henüz muaccel olmamış borcun ifasına güvence gösterilmişse m.500/2 buna izin vermez. Bilinmeyen güvence yok sayılmaz.</w:t>
      </w:r>
    </w:p>
    <w:p>
      <w:pPr>
        <w:pStyle w:val="Heading1"/>
        <w:widowControl/>
      </w:pPr>
      <w:r>
        <w:t>Muhatap ve sınır</w:t>
      </w:r>
    </w:p>
    <w:p>
      <w:pPr>
        <w:widowControl/>
      </w:pPr>
      <w:r>
        <w:t>İİK 226 idareyi masanın kanuni temsilcisi olarak düzenler. Bu örnek idaresi oluşturulmuş dosya içindir; basit tasfiye m.218 kapsamında muhatap kontrol edilir. Alacak kaydı ve stok teslimi ayrı işlemdir.</w:t>
      </w:r>
    </w:p>
    <w:p>
      <w:pPr>
        <w:pStyle w:val="Heading1"/>
        <w:widowControl/>
      </w:pPr>
      <w:r>
        <w:t>Hukuki dayanak</w:t>
      </w:r>
    </w:p>
    <w:p>
      <w:pPr>
        <w:widowControl/>
      </w:pPr>
      <w:r>
        <w:t>6098 m.500/2; ilgili m.487–489. 2004 m.165, 218 ve 226. Başka yayımcıya verme bildirimi.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Yayımcının iflasında eseri başka yayımcıya verme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