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t>TESLİMDEN SONRA YOK OLAN ESER İÇİN BEDEL TALEBİ</w:t>
      </w:r>
    </w:p>
    <w:p>
      <w:pPr>
        <w:widowControl/>
      </w:pPr>
      <w:r>
        <w:t>Talep eden yayımlatan: [Ad soyad/unvan, adres ve sıfat]</w:t>
        <w:br/>
        <w:t>Muhatap yayımcı: [Gerçek unvan, adres]</w:t>
        <w:br/>
        <w:t>Konu: TBK m.498/1 kapsamında [belirli eser] için devam eden bedel borcunun karşılanması.</w:t>
      </w:r>
    </w:p>
    <w:p>
      <w:pPr>
        <w:keepNext/>
        <w:widowControl/>
      </w:pPr>
      <w:r>
        <w:rPr>
          <w:b/>
        </w:rPr>
        <w:t>Açıklamalar</w:t>
      </w:r>
    </w:p>
    <w:p>
      <w:pPr>
        <w:widowControl/>
      </w:pPr>
      <w:r>
        <w:t>1. [Tarih] tarihli yazılı yayım sözleşmesi kapsamında [eser adı ve sürümü] yayım için tarafınıza bırakılmıştır. Eserin teslim tarihi [gerçek tarih], teslim kaydı [belge/ek] ve teslim edilen kapsam [gerçek bilgi] şeklindedir.</w:t>
      </w:r>
    </w:p>
    <w:p>
      <w:pPr>
        <w:widowControl/>
      </w:pPr>
      <w:r>
        <w:t>2. Teslimden sonra eserin [gerçek beklenmedik olay ve kayıt] nedeniyle yok olduğu [bilgi kaynağı ve öğrenme tarihi] üzerinden belirlenmiştir. Yok olma ile teslim bağlantısı [somut belge] üzerinden gösterilmiştir. Basılmış stok nüshası ile teslim edilmiş eser birbirinden ayrılmıştır.</w:t>
      </w:r>
    </w:p>
    <w:p>
      <w:pPr>
        <w:widowControl/>
      </w:pPr>
      <w:r>
        <w:t>3. Bedelin dayanağı [gerçek sözleşme hükmü ve belirlenme yöntemi], ödeme zamanı kaydı [gerçek hukuki ve sözleşmesel dayanak] şeklindedir. Gerçekleşmiş ödemeler [belgeler] olup ödenmemiş bedel [doğrulanmış hesap ve ek] olarak açıklanmıştır. Belgelenmemiş satış veya zarar tutarı bu hesaba eklenmemiştir.</w:t>
      </w:r>
    </w:p>
    <w:p>
      <w:pPr>
        <w:widowControl/>
      </w:pPr>
      <w:r>
        <w:t>4. M.498/2 kapsamında eser sahibinde başka örnek bulunması veya az çabayla yeniden meydana getirme durumu [gerçek açıklama] şeklindedir. Yeniden teslim kaydı ve uygun karşılık talebi [varsa belirli ayrı işlem ve belge] olarak gösterilmiştir.</w:t>
      </w:r>
    </w:p>
    <w:p>
      <w:pPr>
        <w:keepNext/>
        <w:widowControl/>
      </w:pPr>
      <w:r>
        <w:rPr>
          <w:b/>
        </w:rPr>
        <w:t>Sonuç ve talepler</w:t>
      </w:r>
    </w:p>
    <w:p>
      <w:pPr>
        <w:widowControl/>
      </w:pPr>
      <w:r>
        <w:t>TBK m.498/1 uyarınca teslim sonrası beklenmedik yok olmanın bedel ödeme yükümlülüğünüzü kaldırmadığını bildiriyorum. Gerçek sözleşme, ödeme zamanı ve ek hesapla açıklanan ödenmemiş bedelin karşılanmasını; mevcut ödeme veya olay kaydına ilişkin farklı bilgi ileri sürülüyorsa kaynak belgesiyle açıklanmasını talep ediyorum.</w:t>
      </w:r>
    </w:p>
    <w:p>
      <w:pPr>
        <w:widowControl/>
      </w:pPr>
      <w:r>
        <w:t>Cevap ve ödeme açıklamasının [gerçek iletişim/ödeme bilgisi] üzerinden iletilmesini istiyorum. Yeniden teslim ve uygun karşılık kalemi ayrı tutulmalıdır. Bu başvuru, ödenmiş tutarın tekrar istenmesi veya sözleşme haklarının belgesiz genişletilmesi anlamına gelmez.</w:t>
      </w:r>
    </w:p>
    <w:p>
      <w:pPr>
        <w:widowControl/>
      </w:pPr>
      <w:r>
        <w:t>Ekler: [Yazılı sözleşme]; [eser ve teslim kaydı]; [yok olma belgesi]; [bedel ve ödeme çizelgesi]; [başka örnek/yeniden teslim gerçek kaydı].</w:t>
        <w:br/>
        <w:t>Tarih: [Gerçek tarih]</w:t>
        <w:br/>
        <w:t>Ad soyad/unvan ve imza: [Bilgi]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Eser, teslim ve bedel kontrolü</w:t>
      </w:r>
    </w:p>
    <w:p>
      <w:pPr>
        <w:widowControl/>
      </w:pPr>
      <w:r>
        <w:t>Teslimden sonraki yok olma, bedel hesabı ve başka örnek durumu ayrı kaynaklarla gösterilir. Tamamlanmış stok baskısı bu kayıttan ayrılır.</w:t>
      </w:r>
    </w:p>
    <w:p>
      <w:pPr>
        <w:pStyle w:val="Heading1"/>
        <w:widowControl/>
      </w:pPr>
      <w:r>
        <w:t>Ek A Eser ve olay kaydı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belge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Tarih / ek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Kapsam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Eser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[Ad / son sürüm]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[Sözleşme kaydı]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[Teslim edilen bölüm]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Teslim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[Tutanak / ileti]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[Yayımcı / muhatap]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Yok olma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[Olay / kaynak]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[Olay / öğrenme]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[Teslim sonrası bağ]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Ek B Bedel ve yeniden teslim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Kalem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dayanak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Tutar / 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Ayrı kontrol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İlk bedel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[Sözleşme / hesap]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[Ödeme zamanı]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Önceki ödeme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[Dekont / kayıt]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tutar]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[İlgili eser]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Kalan bedel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[Belgeli hesap]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bakiye]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[Mükerrer istem yok]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Başka örnek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[Sürüm / kayıt]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[Teslim / emek]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[Uygun karşılık ayrı]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Kanuni koşul</w:t>
      </w:r>
    </w:p>
    <w:p>
      <w:pPr>
        <w:widowControl/>
      </w:pPr>
      <w:r>
        <w:t>M.498/1 teslimden sonra beklenmedik hâl sonucu yok olmada da bedel borcunu düzenler. M.498/2 başka örnek ve az çabayla yeniden meydana getirme koşullarını içerir; her iki durumda uygun karşılık istenebilir.</w:t>
      </w:r>
    </w:p>
    <w:p>
      <w:pPr>
        <w:pStyle w:val="Heading1"/>
        <w:widowControl/>
      </w:pPr>
      <w:r>
        <w:t>Talebin sınırı</w:t>
      </w:r>
    </w:p>
    <w:p>
      <w:pPr>
        <w:widowControl/>
      </w:pPr>
      <w:r>
        <w:t>İlk bedel, ödeme zamanı ve yeniden teslim karşılığı ayrı tutulur. Belgesiz satış adedi veya zarar eklenmez. M.499 tamamlanmış baskının satış öncesi yok olmasına ilişkindir. Sabit yedi günlük süre yazılmaz.</w:t>
      </w:r>
    </w:p>
    <w:p>
      <w:pPr>
        <w:pStyle w:val="Heading1"/>
        <w:widowControl/>
      </w:pPr>
      <w:r>
        <w:t>Hukuki dayanak</w:t>
      </w:r>
    </w:p>
    <w:p>
      <w:pPr>
        <w:widowControl/>
      </w:pPr>
      <w:r>
        <w:t>6098 sayılı Türk Borçlar Kanunu m.498; ilgili m.487–489 ve 496–499. Yayımcıya teslimden sonra yok olan belirli eserin bedel talebi.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Yayımcıya teslimden sonra yok olan eserin bedelini talep dilekçesi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