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[YAYIMCININ / YAYINEVİNİN UNVANI]’NA</w:t>
      </w:r>
    </w:p>
    <w:p>
      <w:pPr>
        <w:widowControl/>
      </w:pPr>
      <w:r>
        <w:rPr>
          <w:rFonts w:ascii="Times New Roman" w:hAnsi="Times New Roman"/>
          <w:color w:val="000000"/>
        </w:rPr>
        <w:t>Başvuran yayımlatan: [Ad soyad/unvan, adres]</w:t>
        <w:br/>
        <w:t>Yayımcı: [Unvan ve bildirim adresi]</w:t>
        <w:br/>
        <w:t>Eser ve sözleşme: [Eser adı, sözleşme tarihi/numarası]</w:t>
        <w:br/>
        <w:t>Konu: TBK m.491/3 uyarınca yeni basımın gerçekleştirilmesi için uygun süre verilmesidir.</w:t>
      </w:r>
    </w:p>
    <w:p>
      <w:pPr>
        <w:keepNext/>
        <w:widowControl/>
      </w:pPr>
      <w:r>
        <w:rPr>
          <w:rFonts w:ascii="Times New Roman" w:hAnsi="Times New Roman"/>
          <w:b/>
          <w:color w:val="000000"/>
        </w:rPr>
        <w:t>Açıklamalar</w:t>
      </w:r>
    </w:p>
    <w:p>
      <w:pPr>
        <w:widowControl/>
      </w:pPr>
      <w:r>
        <w:rPr>
          <w:rFonts w:ascii="Times New Roman" w:hAnsi="Times New Roman"/>
          <w:color w:val="000000"/>
        </w:rPr>
        <w:t>1. [Sözleşme ve ilgili hüküm] uyarınca [belirli birkaç basım/bütün yeni basımlar şeklindeki gerçek yetki] tarafınıza verilmiştir. İmzalı sözleşme ve ilgili ekler Ek 1’dedir.</w:t>
      </w:r>
    </w:p>
    <w:p>
      <w:pPr>
        <w:widowControl/>
      </w:pPr>
      <w:r>
        <w:rPr>
          <w:rFonts w:ascii="Times New Roman" w:hAnsi="Times New Roman"/>
          <w:color w:val="000000"/>
        </w:rPr>
        <w:t>2. [İlgili baskı] adedinin tükenmesi [tarih ve gerçek stok/dağıtım kayıtları] ile gösterilmiştir. Tükenme ve yeni basım görüşmelerinin kronolojisi Ek 2’dedir. Yeni basımın gerçekleşmediğine ilişkin mevcut durum [belgeli açıklama]dır.</w:t>
      </w:r>
    </w:p>
    <w:p>
      <w:pPr>
        <w:widowControl/>
      </w:pPr>
      <w:r>
        <w:rPr>
          <w:rFonts w:ascii="Times New Roman" w:hAnsi="Times New Roman"/>
          <w:color w:val="000000"/>
        </w:rPr>
        <w:t>3. Yeni basım için eserin ilgili sürümü ve teslim kaydı [gerçek kayıt]dır. Varsa düzeltme iletişimi Ek 3’te gösterilmiştir. Üretim aşaması ve süre belirlemede kullanılan bilgiler Ek 4’tedir.</w:t>
      </w:r>
    </w:p>
    <w:p>
      <w:pPr>
        <w:keepNext/>
        <w:widowControl/>
      </w:pPr>
      <w:r>
        <w:rPr>
          <w:rFonts w:ascii="Times New Roman" w:hAnsi="Times New Roman"/>
          <w:b/>
          <w:color w:val="000000"/>
        </w:rPr>
        <w:t>Bildirim ve talepler</w:t>
      </w:r>
    </w:p>
    <w:p>
      <w:pPr>
        <w:widowControl/>
      </w:pPr>
      <w:r>
        <w:rPr>
          <w:rFonts w:ascii="Times New Roman" w:hAnsi="Times New Roman"/>
          <w:color w:val="000000"/>
        </w:rPr>
        <w:t>TBK m.491/3 uyarınca yeni basımı gerçekleştirmeniz için [başlangıç, sürenin uzunluğu ve bitiş hesabı / açık bitiş tarihi] şeklinde belirlenen uygun süreyi veriyorum. Bu sürenin dayanağı [esere ve üretim aşamasına ilişkin somut açıklama]dır. Yeni basımın gerçekleşmesine ilişkin kayıtları tarafıma bildirmenizi talep ederim. Verilen sürede basım gerçekleştirilmezse m.491/3’te düzenlenen sözleşmeden cayma hakkının koşulları oluşacaktır.</w:t>
      </w:r>
    </w:p>
    <w:p>
      <w:pPr>
        <w:widowControl/>
      </w:pPr>
      <w:r>
        <w:rPr>
          <w:rFonts w:ascii="Times New Roman" w:hAnsi="Times New Roman"/>
          <w:color w:val="000000"/>
        </w:rPr>
        <w:t>Ekler: 1. Yayım sözleşmesi ve yetki. 2. Baskı-stok ve görüşme kronolojisi. 3. Eser sürümü ve teslim. 4. Üretim aşaması ve süre açıklaması. 5. Varsa temsil belgesi.</w:t>
        <w:br/>
        <w:t>Tarih: [Tarih]</w:t>
        <w:br/>
        <w:t>Yayımlatan: [Ad soyad/unvan ve yetkili imza]</w:t>
      </w:r>
    </w:p>
    <w:p>
      <w:r>
        <w:rPr>
          <w:rFonts w:ascii="Times New Roman" w:hAnsi="Times New Roman"/>
          <w:color w:val="000000"/>
        </w:rPr>
        <w:br w:type="page"/>
      </w:r>
    </w:p>
    <w:p>
      <w:pPr>
        <w:pStyle w:val="Title"/>
      </w:pPr>
      <w:r>
        <w:rPr>
          <w:rFonts w:ascii="Times New Roman" w:hAnsi="Times New Roman"/>
          <w:color w:val="000000"/>
        </w:rPr>
        <w:t>Yeni basım ve süre çizelgesi</w:t>
      </w:r>
    </w:p>
    <w:p>
      <w:r>
        <w:rPr>
          <w:rFonts w:ascii="Times New Roman" w:hAnsi="Times New Roman"/>
          <w:color w:val="000000"/>
        </w:rPr>
        <w:t>Sözleşmedeki yetki, tükenmiş baskı, üretim aşaması ve süre ayrı kaydedilir. Tek mağazadaki stok eksikliği bütün baskının tükendiği gibi yazılmaz. Basım numarası ve nüsha adedi karıştırılmaz.</w:t>
      </w:r>
    </w:p>
    <w:p>
      <w:pPr>
        <w:pStyle w:val="Heading1"/>
      </w:pPr>
      <w:r>
        <w:rPr>
          <w:rFonts w:ascii="Times New Roman" w:hAnsi="Times New Roman"/>
          <w:color w:val="000000"/>
        </w:rPr>
        <w:t>Ek A Yetki ve tükenme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basım yetkisi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baskı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[Üretim/stok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[Numara ve adet]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Tükenme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[Stok/dağıtım/iade]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kapsam]</w:t>
            </w:r>
          </w:p>
        </w:tc>
      </w:tr>
    </w:tbl>
    <w:p/>
    <w:p>
      <w:pPr>
        <w:pStyle w:val="Heading1"/>
      </w:pPr>
      <w:r>
        <w:rPr>
          <w:rFonts w:ascii="Times New Roman" w:hAnsi="Times New Roman"/>
          <w:color w:val="000000"/>
        </w:rPr>
        <w:t>Ek B Eser, üretim ve süre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Aşama</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 notu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Eser sürümü</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[Dosya/teslim]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[Düzeltme iletişimi]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Üretim aşaması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[Sipariş/basım ayrı]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Verilen süre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[Başlangıç/bitiş]</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uygunluk]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 ulaşması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[Süreyle eşleşti]</w:t>
            </w:r>
          </w:p>
        </w:tc>
      </w:tr>
    </w:tbl>
    <w:p/>
    <w:p>
      <w:pPr>
        <w:pStyle w:val="Heading1"/>
      </w:pPr>
      <w:r>
        <w:rPr>
          <w:rFonts w:ascii="Times New Roman" w:hAnsi="Times New Roman"/>
          <w:color w:val="000000"/>
        </w:rPr>
        <w:t>Süre sonu kontrolü</w:t>
      </w:r>
    </w:p>
    <w:p>
      <w:r>
        <w:rPr>
          <w:rFonts w:ascii="Times New Roman" w:hAnsi="Times New Roman"/>
          <w:color w:val="000000"/>
        </w:rPr>
        <w:t>Kontrol tarihi [tarih]. Yayımcının cevabı [tarih/belge]. Basımın gerçekleşme kaydı [tarih/numara/eser sürümü]. Gerçekleşmediyse mevcut aşama [somut kayıt]. Süre uzatımı varsa gerçek anlaşma [tarih/içerik]. Sonraki cayma açıklaması ayrı hazırlanır.</w:t>
      </w:r>
    </w:p>
    <w:p>
      <w:pPr>
        <w:pStyle w:val="Heading1"/>
      </w:pPr>
      <w:r>
        <w:rPr>
          <w:rFonts w:ascii="Times New Roman" w:hAnsi="Times New Roman"/>
          <w:color w:val="000000"/>
        </w:rPr>
        <w:t>Son kontrol</w:t>
      </w:r>
    </w:p>
    <w:p>
      <w:r>
        <w:rPr>
          <w:rFonts w:ascii="Times New Roman" w:hAnsi="Times New Roman"/>
          <w:color w:val="000000"/>
        </w:rPr>
        <w:t>Yayımcı ve sözleşme doğru mu? Birden çok eser ayrıldı mı? Yeni basım yetkisi var mı? Tükenme belgeli mi? Eser sürümü açık mı? Sürenin başlangıç ve bitişi belli mi? Uygunluğu somut üretim bilgisiyle açıklanmış mı?</w:t>
      </w:r>
    </w:p>
    <w:p>
      <w:pPr>
        <w:pStyle w:val="Heading1"/>
      </w:pPr>
      <w:r>
        <w:rPr>
          <w:rFonts w:ascii="Times New Roman" w:hAnsi="Times New Roman"/>
          <w:color w:val="000000"/>
        </w:rPr>
        <w:t>Hukuki kapsam</w:t>
      </w:r>
    </w:p>
    <w:p>
      <w:r>
        <w:rPr>
          <w:rFonts w:ascii="Times New Roman" w:hAnsi="Times New Roman"/>
          <w:color w:val="000000"/>
        </w:rPr>
        <w:t>6098 sayılı Türk Borçlar Kanunu m.491/3; ilgili m.487, m.488 ve m.493. Yeni basım için uygun süre verme aşamasıdır. Kanunda bütün eserler için sabit gün sayısı yoktur. Henüz cayma açıklaması içermez.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Yayınevine yeni basım için süre verme ihtarı</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