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089</w:t>
      </w:r>
    </w:p>
    <w:p>
      <w:pPr>
        <w:pStyle w:val="Title"/>
        <w:jc w:val="center"/>
      </w:pPr>
      <w:r>
        <w:t>Yürütmenin Durdurulması Talep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İptal veya tam yargı davasına bakan idari yargı mercii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açılırken veya yargılama sırasında istenir; ayrı bir genel başvuru süresi yoktur, dava süresi kaçırılmamalıdır.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Açık hukuka aykırılık ve telafisi güç zarar iki ayrı başlıkta ve delille açıklanmalıdır.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İYUK m. 27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İdari işlemin açıkça hukuka aykırı olması ve uygulanması hâlinde telafisi güç veya imkânsız zarar doğması birlikte gerçekleşmelidir.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İPTAL VEYA TAM YARGI DAVASINA BAKAN IDARI YARGI MERCII'NA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Savunma alınmadan veya sonrasında yürütmenin durdurulması.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 açılırken veya yargılama sırasında istenir; ayrı bir genel başvuru süresi yoktur, dava süresi kaçırılmamalıdır.</w:t>
      </w:r>
    </w:p>
    <w:p>
      <w:r>
        <w:t>2. İşlemin uygulanma tarihi: [SOMUT OLAYI TARİH, YER, KİŞİ VE BELGEYLE UYUMLU OLARAK AÇIKLAYIN].</w:t>
      </w:r>
    </w:p>
    <w:p>
      <w:r>
        <w:t>3. Açık hukuka aykırılık: [SOMUT OLAYI TARİH, YER, KİŞİ VE BELGEYLE UYUMLU OLARAK AÇIKLAYIN].</w:t>
      </w:r>
    </w:p>
    <w:p>
      <w:r>
        <w:t>4. Yakın zarar: [SOMUT OLAYI TARİH, YER, KİŞİ VE BELGEYLE UYUMLU OLARAK AÇIKLAYIN].</w:t>
      </w:r>
    </w:p>
    <w:p>
      <w:r>
        <w:t>5. Geri dönüşsüz sonuç: [SOMUT OLAYI TARİH, YER, KİŞİ VE BELGEYLE UYUMLU OLARAK AÇIKLAYIN].</w:t>
      </w:r>
    </w:p>
    <w:p>
      <w:r>
        <w:t>6. Teminat ve savunma durumu: [SOMUT OLAYI TARİH, YER, KİŞİ VE BELGEYLE UYUMLU OLARAK AÇIKLAYIN].</w:t>
      </w:r>
    </w:p>
    <w:p>
      <w:r>
        <w:t>7. Temel hukuki sonuç: İdari işlemin açıkça hukuka aykırı olması ve uygulanması hâlinde telafisi güç veya imkânsız zarar doğması birlikte gerçekleşmelidir.</w:t>
      </w:r>
    </w:p>
    <w:p>
      <w:r>
        <w:t>8. Başvuru öncesi kontrol: Açık hukuka aykırılık ve telafisi güç zarar iki ayrı başlıkta ve delille açıklanmalıdır.</w:t>
      </w:r>
    </w:p>
    <w:p>
      <w:pPr>
        <w:pStyle w:val="Heading1"/>
      </w:pPr>
      <w:r>
        <w:t>HUKUKİ NEDENLER</w:t>
      </w:r>
    </w:p>
    <w:p>
      <w:r>
        <w:t>İYUK m. 27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İdari işlem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Mali ve mesleki zarar kayıtları [EK NUMARASI / TARİH]</w:t>
      </w:r>
    </w:p>
    <w:p>
      <w:pPr>
        <w:pStyle w:val="ListBullet"/>
        <w:spacing w:after="60"/>
      </w:pPr>
      <w:r>
        <w:t>Uzman raporu [EK NUMARASI / TARİH]</w:t>
      </w:r>
    </w:p>
    <w:p>
      <w:pPr>
        <w:pStyle w:val="ListBullet"/>
        <w:spacing w:after="60"/>
      </w:pPr>
      <w:r>
        <w:t>Ön başvuru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Savunma alınmadan veya sonrasında yürütmenin durdurulması,</w:t>
      </w:r>
    </w:p>
    <w:p>
      <w:r>
        <w:t>2. Gerekirse teminatsız karar,</w:t>
      </w:r>
    </w:p>
    <w:p>
      <w:r>
        <w:t>3. Kararın ivedi tebliği,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İdari işlem</w:t>
      </w:r>
    </w:p>
    <w:p>
      <w:r>
        <w:t>2. Tebligat belgesi</w:t>
      </w:r>
    </w:p>
    <w:p>
      <w:r>
        <w:t>3. Mali ve mesleki zarar kayıtları</w:t>
      </w:r>
    </w:p>
    <w:p>
      <w:r>
        <w:t>4. Uzman raporu</w:t>
      </w:r>
    </w:p>
    <w:p>
      <w:r>
        <w:t>5. Ön başvuru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 açılırken veya yargılama sırasında istenir; ayrı bir genel başvuru süresi yoktur, dava süresi kaçırılmamalıdır.</w:t>
      </w:r>
    </w:p>
    <w:p>
      <w:pPr>
        <w:pStyle w:val="Heading1"/>
      </w:pPr>
      <w:r>
        <w:t>Görev ve Yetki Kontrolü</w:t>
      </w:r>
    </w:p>
    <w:p>
      <w:r>
        <w:t>İptal veya tam yargı davasına bakan idari yargı mercii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İşlemin uygulanma tarihi → İdari işlem</w:t>
      </w:r>
    </w:p>
    <w:p>
      <w:pPr>
        <w:pStyle w:val="ListBullet"/>
        <w:spacing w:after="60"/>
      </w:pPr>
      <w:r>
        <w:t>Açık hukuka aykırılık → Tebligat belgesi</w:t>
      </w:r>
    </w:p>
    <w:p>
      <w:pPr>
        <w:pStyle w:val="ListBullet"/>
        <w:spacing w:after="60"/>
      </w:pPr>
      <w:r>
        <w:t>Yakın zarar → Mali ve mesleki zarar kayıtları</w:t>
      </w:r>
    </w:p>
    <w:p>
      <w:pPr>
        <w:pStyle w:val="ListBullet"/>
        <w:spacing w:after="60"/>
      </w:pPr>
      <w:r>
        <w:t>Geri dönüşsüz sonuç → Uzman raporu</w:t>
      </w:r>
    </w:p>
    <w:p>
      <w:pPr>
        <w:pStyle w:val="ListBullet"/>
        <w:spacing w:after="60"/>
      </w:pPr>
      <w:r>
        <w:t>Teminat ve savunma durumu → Ön başvuru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Yürütmenin Durdurulması Talep Dilekçesi Örneği</dc:title>
  <dc:subject>İdare ve Vergi Hukuku</dc:subject>
  <dc:creator>Av. Halil Bakırcı</dc:creator>
  <cp:keywords>yürütmenin durdurulması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