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rPr>
          <w:rFonts w:ascii="Aptos" w:hAnsi="Aptos"/>
          <w:b/>
          <w:color w:val="000000"/>
          <w:sz w:val="28"/>
        </w:rPr>
        <w:t>[....] ASLİYE HUKUK MAHKEMESİNE</w:t>
      </w:r>
    </w:p>
    <w:p>
      <w:r>
        <w:rPr>
          <w:b/>
        </w:rPr>
        <w:t>ESAS NO</w:t>
      </w:r>
      <w:r>
        <w:t xml:space="preserve"> : [20../... E.]</w:t>
      </w:r>
    </w:p>
    <w:p>
      <w:r>
        <w:rPr>
          <w:b/>
        </w:rPr>
        <w:t>DAVACI</w:t>
      </w:r>
      <w:r>
        <w:t xml:space="preserve"> : [Ad soyad / unvan ve adres]</w:t>
      </w:r>
    </w:p>
    <w:p>
      <w:r>
        <w:rPr>
          <w:b/>
        </w:rPr>
        <w:t>VEKİLİ</w:t>
      </w:r>
      <w:r>
        <w:t xml:space="preserve"> : Av. [Ad Soyad, baro sicil ve adres]</w:t>
      </w:r>
    </w:p>
    <w:p>
      <w:r>
        <w:rPr>
          <w:b/>
        </w:rPr>
        <w:t>DAVALI</w:t>
      </w:r>
      <w:r>
        <w:t xml:space="preserve"> : [Ad soyad / unvan ve adres]</w:t>
      </w:r>
    </w:p>
    <w:p>
      <w:r>
        <w:rPr>
          <w:b/>
        </w:rPr>
        <w:t>İLGİLİ İŞLEM</w:t>
      </w:r>
      <w:r>
        <w:t xml:space="preserve"> : [18/09/2026 tarihli celsede Ayşe Yılmaz’ın tanık olarak dinlenmesi]</w:t>
      </w:r>
    </w:p>
    <w:p>
      <w:r>
        <w:rPr>
          <w:b/>
        </w:rPr>
        <w:t>KONU</w:t>
      </w:r>
      <w:r>
        <w:t xml:space="preserve"> : HMK m. 157 uyarınca ilgili celsede zabıt kâtibi veya usulüne uygun yeminli geçici görevli bulunup bulunmadığının incelenmesi; yokluk doğrulanırsa belirli tanığın yeniden dinlenmesi talebidir.</w:t>
      </w:r>
    </w:p>
    <w:p>
      <w:pPr>
        <w:keepNext/>
      </w:pPr>
      <w:r>
        <w:rPr>
          <w:b/>
        </w:rPr>
        <w:t>AÇIKLAMALAR</w:t>
      </w:r>
    </w:p>
    <w:p>
      <w:r>
        <w:t>1. Mahkemenizin yukarıda esas numarası yazılı dosyasında 18/09/2026 tarihinde tahkikat duruşması yapılmış ve davacı tanığı Ayşe Yılmaz, [malın 4 Mayıs 2026 tarihinde teslim edilip edilmediği / gerçek çekişmeli vakıa] hakkında dinlenmiştir.</w:t>
      </w:r>
    </w:p>
    <w:p>
      <w:r>
        <w:t>2. UYAP’tan indirilen ilgili celse tutanağında hâkim bilgisi ile elektronik imzası bulunmakta; buna karşılık zabıt kâtibinin adı, görev bilgisi ve güvenli elektronik imza kaydı yer almamaktadır. Dosyada HMK m. 157/2 uyarınca başka bir kişinin görevlendirilip yemin ettirildiğini gösteren ara karar veya tutanak da bulunmamaktadır.</w:t>
      </w:r>
    </w:p>
    <w:p>
      <w:r>
        <w:t>3. HMK m. 157/1, mahkemede veya mahkeme dışında hâkim huzuruyla yapılacak bütün işlemlerde zabıt kâtibinin hazır bulunmasını zorunlu tutar. HMK m. 154/1 sözlü açıklamaların zabıt kâtibi aracılığıyla tutanağa kaydını, HMK m. 155/1 tutanağın hâkim ve zabıt kâtibi tarafından derhâl imzalanmasını emreder.</w:t>
      </w:r>
    </w:p>
    <w:p>
      <w:r>
        <w:t>4. HMK m. 157/2 yalnız zabıt kâtibinin hukuki veya fiilî engelle görev yapamaması ve işin gecikmesinde sakınca bulunması hâlinde, görevin niteliğine uygun yemin ettirilen başka kişinin görevlendirilmesine izin verir. Somut dosyada bu koşulları ve yemin işlemini gösteren kayıt görülmemektedir.</w:t>
      </w:r>
    </w:p>
    <w:p>
      <w:r>
        <w:t>5. Başvurumuz salondaki kişisel gözleme veya yalnız ıslak imza görüntüsünün bulunmamasına dayanmamaktadır. İlgili tutanağın asıl elektronik sürümü, imza doğrulama çıktısı ve dosya evrak listesi birlikte değerlendirilmiştir. Erişemediğimiz görev kaydının mahkemece incelenmesini istiyoruz.</w:t>
      </w:r>
    </w:p>
    <w:p>
      <w:r>
        <w:t>6. HMK m. 156/1 uyarınca ön inceleme, tahkikat ve yargılama işlemleri ancak tutanakla ispatlanabilir. Ayşe Yılmaz’ın beyanı [teslim tarihi] vakıası bakımından belirleyicidir. İşlem sırasında HMK m. 157’ye uygun görevli bulunmadıysa sonradan imza eklenmesi hazır bulunma eksikliğini gidermez.</w:t>
      </w:r>
    </w:p>
    <w:p>
      <w:r>
        <w:t>7. Talebimiz bütün dosya işlemlerinin geçersiz sayılması değildir. Yalnız 18/09/2026 tarihli celsedeki Ayşe Yılmaz’ın dinlenmesi işleminin, görevli zabıt kâtibi veya m. 157/2’ye uygun görevlendirilmiş kişi huzurunda; taraflara soru hakkı tanınarak ve yeni tutanak imzalanarak yenilenmesini istiyoruz.</w:t>
      </w:r>
    </w:p>
    <w:p>
      <w:r>
        <w:t>8. Dosyada henüz nihai karar verilmemiştir. Mevcut kesin süreler ayrıca takip edilmektedir; bu dilekçenin süreleri kendiliğinden durdurduğu ileri sürülmemektedir.</w:t>
      </w:r>
    </w:p>
    <w:p>
      <w:pPr>
        <w:keepNext/>
      </w:pPr>
      <w:r>
        <w:rPr>
          <w:b/>
        </w:rPr>
        <w:t>İNCELENMESİ İSTENEN KAYITLAR</w:t>
      </w:r>
    </w:p>
    <w:p>
      <w:r>
        <w:t>1. 18/09/2026 tarihli celse tutanağının asıl elektronik sürümü ve imza doğrulama verisi.</w:t>
      </w:r>
    </w:p>
    <w:p>
      <w:r>
        <w:t>2. İlgili celsede görevli zabıt kâtibinin adı, görev ve hazır bulunma kaydı.</w:t>
      </w:r>
    </w:p>
    <w:p>
      <w:r>
        <w:t>3. HMK m. 157/2 uygulanmışsa engel, gecikmesinde sakınca, görevlendirme ve yemin kaydı.</w:t>
      </w:r>
    </w:p>
    <w:p>
      <w:r>
        <w:t>4. Ayşe Yılmaz’ın tanık listesi, davetiyesi ve önceki beyan tutanağı.</w:t>
      </w:r>
    </w:p>
    <w:p>
      <w:pPr>
        <w:keepNext/>
      </w:pPr>
      <w:r>
        <w:rPr>
          <w:b/>
        </w:rPr>
        <w:t>HUKUKİ NEDENLER</w:t>
      </w:r>
    </w:p>
    <w:p>
      <w:r>
        <w:t>6100 sayılı Hukuk Muhakemeleri Kanunu m. 27, 153, 154, 155, 156, 157, 240 ve devamı ile ilgili diğer hükümler.</w:t>
      </w:r>
    </w:p>
    <w:p>
      <w:pPr>
        <w:keepNext/>
      </w:pPr>
      <w:r>
        <w:rPr>
          <w:b/>
        </w:rPr>
        <w:t>SONUÇ VE İSTEM</w:t>
      </w:r>
    </w:p>
    <w:p>
      <w:r>
        <w:t>Açıklanan nedenlerle; 18/09/2026 tarihli celsede zabıt kâtibinin hazır bulunup bulunmadığının, bulunmadıysa HMK m. 157/2 uyarınca başka bir kişinin usulüne uygun görevlendirilip yemin ettirilip ettirilmediğinin resmî kayıtlardan İNCELENMESİNE; hiçbir usulüne uygun görevli bulunmadığının saptanması hâlinde davacı tanığı Ayşe Yılmaz’ın [çekişmeli vakıa] hakkında, taraflara soru hakkı tanınarak YENİDEN DİNLENMESİNE; yeni tutanağın HMK m. 154 ve 155’e uygun düzenlenip imzalanmasına ve tahkikata bundan sonra devam edilmesine karar verilmesini saygıyla arz ve talep ederiz. 29/09/2026</w:t>
      </w:r>
    </w:p>
    <w:p>
      <w:pPr>
        <w:spacing w:after="240"/>
        <w:jc w:val="right"/>
      </w:pPr>
      <w:r>
        <w:t>Davacı Vekili</w:t>
        <w:br/>
        <w:t>Av. [Ad Soyad]</w:t>
        <w:br/>
        <w:t>(E-İMZALIDIR)</w:t>
      </w:r>
    </w:p>
    <w:p>
      <w:pPr>
        <w:keepNext/>
        <w:spacing w:before="160"/>
      </w:pPr>
      <w:r>
        <w:rPr>
          <w:b/>
        </w:rPr>
        <w:t>EKLER</w:t>
      </w:r>
    </w:p>
    <w:p>
      <w:pPr>
        <w:pStyle w:val="ListBullet"/>
      </w:pPr>
      <w:r>
        <w:t>Ek-1: 18/09/2026 tarihli duruşma tutanağı</w:t>
      </w:r>
    </w:p>
    <w:p>
      <w:pPr>
        <w:pStyle w:val="ListBullet"/>
      </w:pPr>
      <w:r>
        <w:t>Ek-2: Elektronik imza doğrulama çıktısı</w:t>
      </w:r>
    </w:p>
    <w:p>
      <w:pPr>
        <w:pStyle w:val="ListBullet"/>
      </w:pPr>
      <w:r>
        <w:t>Ek-3: Güncel UYAP evrak veya dizi listesi</w:t>
      </w:r>
    </w:p>
    <w:p>
      <w:pPr>
        <w:pStyle w:val="ListBullet"/>
      </w:pPr>
      <w:r>
        <w:t>Ek-4: Tanık listesi ve davetiye örneği</w:t>
      </w:r>
    </w:p>
    <w:p>
      <w:pPr>
        <w:pStyle w:val="ListBullet"/>
      </w:pPr>
      <w:r>
        <w:t>Ek-5: [Varsa] ilgili görevlendirme kaydının dosyada bulunmadığını gösteren yazı</w:t>
      </w:r>
    </w:p>
    <w:p>
      <w:pPr>
        <w:keepNext/>
      </w:pPr>
      <w:r>
        <w:rPr>
          <w:b/>
        </w:rPr>
        <w:t>DOLDURMA KONTROLÜ SUNULACAK NÜSHADAN ÇIKARIN</w:t>
      </w:r>
    </w:p>
    <w:p>
      <w:pPr>
        <w:pStyle w:val="ListBullet"/>
      </w:pPr>
      <w:r>
        <w:rPr>
          <w:i/>
        </w:rPr>
        <w:t>Mahkeme, esas, celse, tanık ve UYAP evrak numarasını gerçek kayıttan yazın.</w:t>
      </w:r>
    </w:p>
    <w:p>
      <w:pPr>
        <w:pStyle w:val="ListBullet"/>
      </w:pPr>
      <w:r>
        <w:rPr>
          <w:i/>
        </w:rPr>
        <w:t>Kâtibin yalnız imzası eksikse HMK 155 konulu dilekçeyi kullanın.</w:t>
      </w:r>
    </w:p>
    <w:p>
      <w:pPr>
        <w:pStyle w:val="ListBullet"/>
      </w:pPr>
      <w:r>
        <w:rPr>
          <w:i/>
        </w:rPr>
        <w:t>HMK 157/2 görevlendirmesi varsa yokmuş gibi beyanda bulunmayın.</w:t>
      </w:r>
    </w:p>
    <w:p>
      <w:pPr>
        <w:pStyle w:val="ListBullet"/>
      </w:pPr>
      <w:r>
        <w:rPr>
          <w:i/>
        </w:rPr>
        <w:t>Nihai karar verilmişse kanun yolu süresini ayrıca takip edin; bu dilekçe süreyi durdurmaz.</w:t>
      </w:r>
    </w:p>
    <w:p>
      <w:pPr>
        <w:pStyle w:val="ListBullet"/>
      </w:pPr>
      <w:r>
        <w:rPr>
          <w:i/>
        </w:rPr>
        <w:t>Köşeli alanları ve ekleri tamamlayıp bu kontrol bölümünü nihai nüshadan çıkarın.</w:t>
      </w:r>
    </w:p>
    <w:sectPr w:rsidR="00FC693F" w:rsidRPr="0006063C" w:rsidSect="00034616">
      <w:pgSz w:w="12240" w:h="15840"/>
      <w:pgMar w:top="1008" w:right="1181" w:bottom="936" w:left="118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40" w:lineRule="auto"/>
    </w:pPr>
    <w:rPr>
      <w:rFonts w:ascii="Aptos" w:hAnsi="Aptos"/>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