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[MAHKEME] SAYIN HÂKİMLİĞİNE</w:t>
      </w:r>
    </w:p>
    <w:p>
      <w:pPr>
        <w:jc w:val="center"/>
      </w:pPr>
      <w:r>
        <w:rPr>
          <w:b/>
          <w:sz w:val="25"/>
        </w:rPr>
        <w:t>ZAMANAŞIMI DEF’İ DİLEKÇESİ ÖRNEĞİ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88"/>
        <w:gridCol w:w="4788"/>
      </w:tblGrid>
      <w:tr>
        <w:tc>
          <w:tcPr>
            <w:tcW w:type="dxa" w:w="47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DEDED"/>
          </w:tcPr>
          <w:p>
            <w:r>
              <w:rPr>
                <w:b/>
                <w:sz w:val="21"/>
              </w:rPr>
              <w:t>DOSYA NO</w:t>
            </w:r>
          </w:p>
        </w:tc>
        <w:tc>
          <w:tcPr>
            <w:tcW w:type="dxa" w:w="47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sz w:val="21"/>
              </w:rPr>
              <w:t>[DOSYA NO]</w:t>
            </w:r>
          </w:p>
        </w:tc>
      </w:tr>
      <w:tr>
        <w:tc>
          <w:tcPr>
            <w:tcW w:type="dxa" w:w="47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DEDED"/>
          </w:tcPr>
          <w:p>
            <w:r>
              <w:rPr>
                <w:b/>
                <w:sz w:val="21"/>
              </w:rPr>
              <w:t>DAVALI</w:t>
            </w:r>
          </w:p>
        </w:tc>
        <w:tc>
          <w:tcPr>
            <w:tcW w:type="dxa" w:w="47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sz w:val="21"/>
              </w:rPr>
              <w:t>[AD SOYAD / UNVAN]</w:t>
            </w:r>
          </w:p>
        </w:tc>
      </w:tr>
      <w:tr>
        <w:tc>
          <w:tcPr>
            <w:tcW w:type="dxa" w:w="47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DEDED"/>
          </w:tcPr>
          <w:p>
            <w:r>
              <w:rPr>
                <w:b/>
                <w:sz w:val="21"/>
              </w:rPr>
              <w:t>VEKİLİ</w:t>
            </w:r>
          </w:p>
        </w:tc>
        <w:tc>
          <w:tcPr>
            <w:tcW w:type="dxa" w:w="47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sz w:val="21"/>
              </w:rPr>
              <w:t>Av. Halil BAKIRCI</w:t>
            </w:r>
          </w:p>
        </w:tc>
      </w:tr>
      <w:tr>
        <w:tc>
          <w:tcPr>
            <w:tcW w:type="dxa" w:w="47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DEDED"/>
          </w:tcPr>
          <w:p>
            <w:r>
              <w:rPr>
                <w:b/>
                <w:sz w:val="21"/>
              </w:rPr>
              <w:t>DAVACI</w:t>
            </w:r>
          </w:p>
        </w:tc>
        <w:tc>
          <w:tcPr>
            <w:tcW w:type="dxa" w:w="47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sz w:val="21"/>
              </w:rPr>
              <w:t>[AD SOYAD / UNVAN]</w:t>
            </w:r>
          </w:p>
        </w:tc>
      </w:tr>
      <w:tr>
        <w:tc>
          <w:tcPr>
            <w:tcW w:type="dxa" w:w="47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DEDED"/>
          </w:tcPr>
          <w:p>
            <w:r>
              <w:rPr>
                <w:b/>
                <w:sz w:val="21"/>
              </w:rPr>
              <w:t>KONU</w:t>
            </w:r>
          </w:p>
        </w:tc>
        <w:tc>
          <w:tcPr>
            <w:tcW w:type="dxa" w:w="478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sz w:val="21"/>
              </w:rPr>
              <w:t>Davacının [ALACAK TÜRÜ] talebi yönünden zamanaşımı def’imizin sunulması ve talebin reddi istemidir.</w:t>
            </w:r>
          </w:p>
        </w:tc>
      </w:tr>
    </w:tbl>
    <w:p>
      <w:r>
        <w:rPr>
          <w:b/>
        </w:rPr>
        <w:t>AÇIKLAMALAR</w:t>
      </w:r>
    </w:p>
    <w:p>
      <w:pPr>
        <w:jc w:val="both"/>
      </w:pPr>
      <w:r>
        <w:t>1. Davacı, [HUKUKİ İLİŞKİ] nedeniyle [ALACAK TÜRÜ VE MİKTARI] talep etmektedir. İddia edilen alacağın doğum ve muacceliyet tarihi [TARİH] olup bu husus [SÖZLEŞME / FATURA / İFA / DİĞER BELGE] ile sabittir.</w:t>
      </w:r>
    </w:p>
    <w:p>
      <w:pPr>
        <w:jc w:val="both"/>
      </w:pPr>
      <w:r>
        <w:t>2. Somut alacak [UYGULANAN KANUN VE MADDE] uyarınca [ZAMANAŞIMI SÜRESİ] zamanaşımı süresine tabidir. Süre [BAŞLANGIÇ TARİHİ] tarihinde işlemeye başlamıştır. Türk Borçlar Kanunu m.146’daki on yıllık genel süre, m.147’deki beş yıllık özel gruplar ve somut alacağa uygulanabilecek özel kanun hükümleri birlikte değerlendirilmiştir.</w:t>
      </w:r>
    </w:p>
    <w:p>
      <w:pPr>
        <w:jc w:val="both"/>
      </w:pPr>
      <w:r>
        <w:t>3. Davacı eldeki davayı [DAVA TARİHİ] tarihinde açmıştır. Başlangıç tarihi ile dava tarihi arasındaki kanuni süre dolmuştur. Bu nedenle müvekkil, TBK m.161 uyarınca zamanaşımı def’ini açıkça ileri sürmektedir.</w:t>
      </w:r>
    </w:p>
    <w:p>
      <w:pPr>
        <w:jc w:val="both"/>
      </w:pPr>
      <w:r>
        <w:t>4. Dosyada zamanaşımını durduran veya kesen geçerli bir olay bulunmamaktadır. [VARSA DAVACININ İLERİ SÜRDÜĞÜ İŞLEM] yönünden TBK m.153-157 ve varsa özel kanun hükümleri uygulanarak inceleme yapılmalıdır. Salt ihtarname, genel TBK rejiminde TBK m.154’te sayılan kesilme sebeplerinden değildir.</w:t>
      </w:r>
    </w:p>
    <w:p>
      <w:pPr>
        <w:jc w:val="both"/>
      </w:pPr>
      <w:r>
        <w:t>5. Alternatif olarak mahkemenizce [OLASI KESİLME / DURMA OLAYI] dikkate alınsa dahi yeni başlangıç [TARİH] olup [HESAP AÇIKLAMASI] sonucu eldeki dava tarihi itibarıyla süre yine dolmuştur. Borcun bir senetle ikrar edilmiş veya mahkeme ya da hakem kararına bağlanmış olması hâlinde TBK m.156/2’deki on yıllık yeni süre kuralı ayrıca dikkate alınmıştır.</w:t>
      </w:r>
    </w:p>
    <w:p>
      <w:pPr>
        <w:jc w:val="both"/>
      </w:pPr>
      <w:r>
        <w:t>6. Zamanaşımı def’i, yargılamada usulüne uygun zamanda ileri sürülmelidir. İşbu dilekçe, cevap dilekçesi süresi ve savunmanın genişletilmesine ilişkin yürürlükteki HMK hükümleri gözetilerek sunulmaktadır.</w:t>
      </w:r>
    </w:p>
    <w:p>
      <w:r>
        <w:rPr>
          <w:b/>
        </w:rPr>
        <w:t xml:space="preserve">HUKUKİ NEDENLER: </w:t>
      </w:r>
      <w:r>
        <w:t>[UYGULANAN ÖZEL KANUN], 6098 sayılı Türk Borçlar Kanunu m.146-161, 6100 sayılı Hukuk Muhakemeleri Kanunu ve ilgili mevzuat.</w:t>
      </w:r>
    </w:p>
    <w:p>
      <w:r>
        <w:rPr>
          <w:b/>
        </w:rPr>
        <w:t xml:space="preserve">DELİLLER: </w:t>
      </w:r>
      <w:r>
        <w:t>Sözleşme, fatura, hesap ekstresi, ödeme kayıtları, banka kayıtları, ihtarlar, önceki dava ve icra dosyaları, UYAP kayıtları, bilirkişi incelemesi ve diğer hukuka uygun deliller.</w:t>
      </w:r>
    </w:p>
    <w:p>
      <w:r>
        <w:rPr>
          <w:b/>
        </w:rPr>
        <w:t>SONUÇ VE TALEP</w:t>
      </w:r>
    </w:p>
    <w:p>
      <w:pPr>
        <w:jc w:val="both"/>
      </w:pPr>
      <w:r>
        <w:t>Açıklanan nedenlerle; [ALACAK TÜRÜ] yönünden zamanaşımı def’imizin kabulüne, zamanaşımına uğrayan talebin müvekkil yönünden reddine, yargılama giderleri ile vekâlet ücretinin davacı üzerinde bırakılmasına karar verilmesini saygıyla arz ve talep ederiz. [TARİH]</w:t>
      </w:r>
    </w:p>
    <w:p>
      <w:pPr>
        <w:jc w:val="right"/>
      </w:pPr>
      <w:r>
        <w:rPr>
          <w:b/>
        </w:rPr>
        <w:t>Davalı Vekili</w:t>
        <w:br/>
        <w:t>Av. Halil BAKIRCI</w:t>
        <w:br/>
        <w:t>(E-İMZALIDIR)</w:t>
      </w:r>
    </w:p>
    <w:p>
      <w:r>
        <w:rPr>
          <w:b/>
        </w:rPr>
        <w:t>DOLDURMADAN ÖNCE KONTROL</w:t>
      </w:r>
    </w:p>
    <w:p>
      <w:pPr>
        <w:pStyle w:val="ListBullet"/>
      </w:pPr>
      <w:r>
        <w:t>[ ] Alacağın hukuki kaynağı ve özel zamanaşımı maddesi belirlendi.</w:t>
      </w:r>
    </w:p>
    <w:p>
      <w:pPr>
        <w:pStyle w:val="ListBullet"/>
      </w:pPr>
      <w:r>
        <w:t>[ ] Muacceliyet / başlangıç tarihi belgeyle doğrulandı.</w:t>
      </w:r>
    </w:p>
    <w:p>
      <w:pPr>
        <w:pStyle w:val="ListBullet"/>
      </w:pPr>
      <w:r>
        <w:t>[ ] TBK m.153 durma sebepleri kontrol edildi.</w:t>
      </w:r>
    </w:p>
    <w:p>
      <w:pPr>
        <w:pStyle w:val="ListBullet"/>
      </w:pPr>
      <w:r>
        <w:t>[ ] TBK m.154-157 kesilme ve yeni süre olayları kronolojik olarak kontrol edildi.</w:t>
      </w:r>
    </w:p>
    <w:p>
      <w:pPr>
        <w:pStyle w:val="ListBullet"/>
      </w:pPr>
      <w:r>
        <w:t>[ ] Cevap dilekçesi süresi ve güncel HMK m.141 değerlendirildi.</w:t>
      </w:r>
    </w:p>
    <w:p>
      <w:pPr>
        <w:pStyle w:val="ListBullet"/>
      </w:pPr>
      <w:r>
        <w:t>[ ] Talep, deliller ve tarih alanları somut dosyaya göre dolduruldu.</w:t>
      </w:r>
    </w:p>
    <w:p>
      <w:r>
        <w:rPr>
          <w:b/>
        </w:rPr>
        <w:t xml:space="preserve">Hukuki not: </w:t>
      </w:r>
      <w:r>
        <w:t>Bu belge örnek şablondur. Zamanaşımı süresi, başlangıcı, durma/kesilme ve usul zamanı somut alacağın niteliğine göre ayrıca belirlenmelidir. 13 Eylül 2026 itibarıyla TBK m.146-161 ve yürürlükteki HMK hükümleri esas alınmıştır.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47" w:bottom="1247" w:left="1417" w:header="720" w:footer="720" w:gutter="0"/>
      <w:cols w:space="720"/>
      <w:docGrid w:linePitch="36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6"/>
      </w:rPr>
      <w:t>Örnek metin - somut dosyaya göre uyarlanmalıdır. Av. Halil BAKIRCI, Mersin Barosu Sicil No: 3472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/>
        <w:b/>
        <w:sz w:val="21"/>
      </w:rPr>
      <w:t>BAKIRCI &amp; KESKİN HUKUK BÜROSU</w:t>
    </w:r>
  </w:p>
  <w:p>
    <w:pPr>
      <w:jc w:val="center"/>
    </w:pPr>
    <w:r>
      <w:rPr>
        <w:rFonts w:ascii="Times New Roman" w:hAnsi="Times New Roman"/>
        <w:sz w:val="17"/>
      </w:rPr>
      <w:t>İhsaniye Mah. 4903 Sk. Profit İş Merkezi No:23 Kat:3 Daire:14 Akdeniz/Mersin | 0552 224 43 66 | halilbakirci.av.tr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ListBullet">
    <w:name w:val="List Bullet"/>
    <w:basedOn w:val="Normal"/>
    <w:pPr>
      <w:ind w:left="360" w:hanging="180"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