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center"/>
        <w:spacing w:before="0" w:after="100" w:line="276" w:lineRule="auto"/>
      </w:pPr>
      <w:r>
        <w:rPr>
          <w:rFonts w:ascii="Times New Roman" w:hAnsi="Times New Roman" w:eastAsia="Times New Roman"/>
          <w:b/>
          <w:sz w:val="18"/>
          <w:szCs w:val="18"/>
        </w:rPr>
        <w:t xml:space="preserve">PRO ÖRNEK DİLEKÇE — ZIYNET EŞYASI ALACAĞI DAVA DILEKÇESI ÖRNEĞI</w:t>
      </w:r>
    </w:p>
    <w:p>
      <w:pPr>
        <w:jc w:val="center"/>
        <w:spacing w:before="120" w:after="220" w:line="276" w:lineRule="auto"/>
      </w:pPr>
      <w:r>
        <w:rPr>
          <w:rFonts w:ascii="Times New Roman" w:hAnsi="Times New Roman" w:eastAsia="Times New Roman"/>
          <w:b/>
          <w:sz w:val="25"/>
          <w:szCs w:val="25"/>
        </w:rPr>
        <w:t xml:space="preserve">[YETKİLİ YER] AİLE MAHKEMESİ’NE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EŞ	: </w:t>
      </w:r>
      <w:r>
        <w:rPr>
          <w:rFonts w:ascii="Times New Roman" w:hAnsi="Times New Roman" w:eastAsia="Times New Roman"/>
          <w:sz w:val="23"/>
          <w:szCs w:val="23"/>
        </w:rPr>
        <w:t xml:space="preserve">[AD SOYAD / T.C. KİMLİK NO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VEKİLİ	: </w:t>
      </w:r>
      <w:r>
        <w:rPr>
          <w:rFonts w:ascii="Times New Roman" w:hAnsi="Times New Roman" w:eastAsia="Times New Roman"/>
          <w:sz w:val="23"/>
          <w:szCs w:val="23"/>
        </w:rPr>
        <w:t xml:space="preserve">Av. Halil Bakırcı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DAVALI EŞ	: </w:t>
      </w:r>
      <w:r>
        <w:rPr>
          <w:rFonts w:ascii="Times New Roman" w:hAnsi="Times New Roman" w:eastAsia="Times New Roman"/>
          <w:sz w:val="23"/>
          <w:szCs w:val="23"/>
        </w:rPr>
        <w:t xml:space="preserve">[AD SOYAD / UNVAN / ADRES]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 / DOSYA NO	: </w:t>
      </w:r>
      <w:r>
        <w:rPr>
          <w:rFonts w:ascii="Times New Roman" w:hAnsi="Times New Roman" w:eastAsia="Times New Roman"/>
          <w:sz w:val="23"/>
          <w:szCs w:val="23"/>
        </w:rPr>
        <w:t xml:space="preserve">[VARSA ESAS / TAKİP / BAŞVURU NO]</w:t>
      </w:r>
    </w:p>
    <w:p>
      <w:pPr>
        <w:spacing w:after="60"/>
        <w:tabs>
          <w:tab w:val="left" w:pos="2700"/>
        </w:tabs>
      </w:pPr>
      <w:r>
        <w:rPr>
          <w:rFonts w:ascii="Times New Roman" w:hAnsi="Times New Roman" w:eastAsia="Times New Roman"/>
          <w:b/>
          <w:sz w:val="23"/>
          <w:szCs w:val="23"/>
        </w:rPr>
        <w:t xml:space="preserve">KONU	: </w:t>
      </w:r>
      <w:r>
        <w:rPr>
          <w:rFonts w:ascii="Times New Roman" w:hAnsi="Times New Roman" w:eastAsia="Times New Roman"/>
          <w:sz w:val="23"/>
          <w:szCs w:val="23"/>
        </w:rPr>
        <w:t xml:space="preserve">düğünde takılan ve iade edilmeyen ziynet eşyasının aynen, mümkün olmazsa bedel olarak tahsili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USUL / KULLANIM NOTU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Köşeli parantezli alanlar gerçek dosya bilgileriyle değiştirilmelidir. Somut dosyada bulunmayan vakıa ve deliller çıkarılmalıdır. Bu profesyonel örnek, ilgili uyuşmazlığın usul ve maddi hukuk özelliklerine göre uyarlanmalıdır.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AÇIKLAMALAR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1. Taraflar [EVLİLİK TARİHİ] tarihinde evlenmiş; düğünde davacıya [ZİYNET LİSTESİ] takılmıştır.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2. Ziynetler evlilik sürecinde [DAVALI TARAFINDAN ALINMA/BOZDURULMA/SAKLAMA] biçiminde davacının zilyetliğinden çıkmıştır.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3. Davacı ziynetlerin bağışlandığını veya karşılıksız olarak davalıya devrettiğini kabul etmemiş; iade talebine rağmen ziynetler geri verilmemiştir.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4. Düğün görüntüleri, fotoğraflar, kuyumcu kayıtları ve tanıklar ziynetlerin tür ve miktarını belirlemeye elverişlidir.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5. Ziynetlerin aynen mevcut olup olmadığı araştırılmalı; aynen iade mümkün değilse dava tarihindeki/uygun hukuki tarihteki bedeli bilirkişi marifetiyle hesaplanmalıdır.</w:t>
      </w:r>
    </w:p>
    <w:p>
      <w:pPr>
        <w:jc w:val="both"/>
        <w:spacing w:before="0" w:after="130" w:line="276" w:lineRule="auto"/>
        <w:ind w:firstLine="360"/>
      </w:pPr>
      <w:r>
        <w:rPr>
          <w:rFonts w:ascii="Times New Roman" w:hAnsi="Times New Roman" w:eastAsia="Times New Roman"/>
          <w:sz w:val="23"/>
          <w:szCs w:val="23"/>
        </w:rPr>
        <w:t xml:space="preserve">6. Dava konusu ziynetler davacının kişisel malı niteliğinde olup haksız alıkoyma nedeniyle iade yükümlülüğü doğmuştur.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HUKUKİ NEDENLER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4721 sayılı TMK m. 220 ve ilgili hükümler; TBK; HMK ve somut olaya uygulanacak sair mevzuat.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DELİLLER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Düğün fotoğraf ve videoları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Takı listesi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Kuyumcu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Banka kayıtları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5. Tanıklar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6. Mesaj/yazışmalar</w:t>
      </w:r>
    </w:p>
    <w:p>
      <w:pPr>
        <w:jc w:val="left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7. Bilirkişi incelemesi</w:t>
      </w:r>
    </w:p>
    <w:p>
      <w:pPr>
        <w:jc w:val="both"/>
        <w:spacing w:before="0" w:after="1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Her türlü yasal delil; karşı tarafın sunacağı delillere karşı delil sunma hakkımız saklıdır.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SONUÇ VE İSTEM</w:t>
      </w:r>
    </w:p>
    <w:p>
      <w:pPr>
        <w:jc w:val="both"/>
        <w:spacing w:before="0" w:after="10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Yukarıda arz ve izah edilen nedenlerle ve Mahkemenizce re’sen gözetilecek hususlar saklı kalmak kaydıyla;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1. Ziynet eşyalarının aynen davacıya iadesine,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2. Aynen iade mümkün değilse bilirkişiyle belirlenecek bedelinin davalıdan tahsiline,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3. Uygun faiz yürütülmesine,</w:t>
      </w:r>
    </w:p>
    <w:p>
      <w:pPr>
        <w:jc w:val="both"/>
        <w:spacing w:before="0" w:after="6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4. Yargılama giderleri ve vekâlet ücretinin davalıya yükletilmesine,</w:t>
      </w:r>
    </w:p>
    <w:p>
      <w:pPr>
        <w:jc w:val="both"/>
        <w:spacing w:before="0" w:after="22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karar verilmesini saygıyla vekâleten arz ve talep ederiz. [TARİH]</w:t>
      </w:r>
    </w:p>
    <w:p>
      <w:pPr>
        <w:jc w:val="right"/>
        <w:spacing w:before="0" w:after="20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DAVACI EŞ Vekili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Av. Halil Bakırcı</w:t>
      </w:r>
      <w:r>
        <w:br/>
      </w:r>
      <w:r>
        <w:rPr>
          <w:rFonts w:ascii="Times New Roman" w:hAnsi="Times New Roman" w:eastAsia="Times New Roman"/>
          <w:b/>
          <w:sz w:val="23"/>
          <w:szCs w:val="23"/>
        </w:rPr>
        <w:t xml:space="preserve">(E-İMZALIDIR / Islak imza gerektiren kullanımda imzalanır)</w:t>
      </w:r>
    </w:p>
    <w:p>
      <w:pPr>
        <w:jc w:val="left"/>
        <w:spacing w:before="180" w:after="80" w:line="276" w:lineRule="auto"/>
      </w:pPr>
      <w:r>
        <w:rPr>
          <w:rFonts w:ascii="Times New Roman" w:hAnsi="Times New Roman" w:eastAsia="Times New Roman"/>
          <w:b/>
          <w:sz w:val="23"/>
          <w:szCs w:val="23"/>
        </w:rPr>
        <w:t xml:space="preserve">EKLER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Ek-1: Düğün fotoğraf ve videoları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Ek-2: Takı listesi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Ek-3: Kuyumcu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Ek-4: Banka kayıtları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Ek-5: Tanıklar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Ek-6: Mesaj/yazışmalar</w:t>
      </w:r>
    </w:p>
    <w:p>
      <w:pPr>
        <w:jc w:val="left"/>
        <w:spacing w:before="0" w:after="5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Ek-7: Bilirkişi incelemesi</w:t>
      </w:r>
    </w:p>
    <w:p>
      <w:r>
        <w:br w:type="page"/>
      </w:r>
    </w:p>
    <w:p>
      <w:pPr>
        <w:jc w:val="center"/>
        <w:spacing w:before="0" w:after="160" w:line="276" w:lineRule="auto"/>
      </w:pPr>
      <w:r>
        <w:rPr>
          <w:rFonts w:ascii="Times New Roman" w:hAnsi="Times New Roman" w:eastAsia="Times New Roman"/>
          <w:b/>
          <w:sz w:val="24"/>
          <w:szCs w:val="24"/>
        </w:rPr>
        <w:t xml:space="preserve">DOSYAYA UYARLAMA VE SON KONTROL SAYFASI</w:t>
      </w:r>
    </w:p>
    <w:p>
      <w:pPr>
        <w:jc w:val="both"/>
        <w:spacing w:before="0" w:after="140" w:line="276" w:lineRule="auto"/>
      </w:pPr>
      <w:r>
        <w:rPr>
          <w:rFonts w:ascii="Times New Roman" w:hAnsi="Times New Roman" w:eastAsia="Times New Roman"/>
          <w:sz w:val="23"/>
          <w:szCs w:val="23"/>
        </w:rPr>
        <w:t xml:space="preserve">Bu sayfa mahkemeye sunulmaz. Dilekçe örneğini kullanmadan önce aşağıdaki alanları gerçek dosya bilgileriyle değiştirin ve görev, yetki, süre, dava şartı ile vekâlet ilişkisini doğrulayın.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Mahkeme/merci adı ve yetkili yer gerçek dosyaya göre düzeltildi.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Esas/karar, icra, başvuru ve işlem numaraları gerçek kayıtlarla eşleştirildi.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Taraf adları, T.C. kimlik/vergi numaraları ve tebligat adresleri kontrol edildi.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Tarih, tutar, faiz başlangıcı ve süre hesabı tebliğ/öğrenme belgelerine göre yapıldı.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Her olayın karşısında onu ispatlayan belge veya celp talebi bulunuyor.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Ekler numaralandırıldı; elektronik belgelerin asılları ve doğrulama bilgileri korundu.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Sonuç ve istem, yalnız gerçekten talep edilen hukuki sonuçları içeriyor.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sz w:val="22"/>
          <w:szCs w:val="22"/>
        </w:rPr>
        <w:t xml:space="preserve">☐ “Vekili Av. Halil Bakırcı” ibaresi yalnız gerçek vekâlet ilişkisi ve geçerli vekâletname varsa somut başvuruda vekil sıfatıyla kullanılmalıdır.</w:t>
      </w:r>
    </w:p>
    <w:p>
      <w:pPr>
        <w:jc w:val="left"/>
        <w:spacing w:before="12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Belge kaynağı: halilbakirci.av.tr — Bakırcı &amp; Keskin Hukuk Bürosu</w:t>
      </w:r>
    </w:p>
    <w:p>
      <w:pPr>
        <w:jc w:val="left"/>
        <w:spacing w:before="0" w:after="70" w:line="276" w:lineRule="auto"/>
      </w:pPr>
      <w:r>
        <w:rPr>
          <w:rFonts w:ascii="Times New Roman" w:hAnsi="Times New Roman" w:eastAsia="Times New Roman"/>
          <w:b/>
          <w:sz w:val="21"/>
          <w:szCs w:val="21"/>
        </w:rPr>
        <w:t xml:space="preserve">Hazırlayan / hukuki inceleme: Av. Halil Bakırcı, Mersin Barosu Sicil No: 3472</w:t>
      </w:r>
    </w:p>
    <w:sectPr>
      <w:footerReference w:type="default" r:id="rId2"/>
      <w:pgSz w:w="11906" w:h="16838"/>
      <w:pgMar w:top="1247" w:right="1134" w:bottom="1134" w:left="1417" w:header="454" w:footer="454" w:gutter="0"/>
    </w:sectPr>
  </w:body>
</w:document>
</file>

<file path=word/footer1.xml><?xml version="1.0" encoding="utf-8"?>
<w:ftr xmlns:w="http://schemas.openxmlformats.org/wordprocessingml/2006/main">
  <w:p>
    <w:pPr>
      <w:jc w:val="center"/>
    </w:pPr>
    <w:r>
      <w:rPr>
        <w:rFonts w:ascii="Times New Roman" w:hAnsi="Times New Roman" w:eastAsia="Times New Roman"/>
        <w:sz w:val="16"/>
        <w:szCs w:val="16"/>
      </w:rPr>
      <w:t xml:space="preserve">Örnek Dilekçe • Av. Halil Bakırcı • Mersin Barosu Sicil No: 3472 • halilbakirci.av.tr • Sayfa </w:t>
    </w:r>
    <w:r>
      <w:rPr>
        <w:rFonts w:ascii="Times New Roman" w:hAnsi="Times New Roman"/>
        <w:sz w:val="16"/>
      </w:rPr>
      <w:fldChar w:fldCharType="begin"/>
    </w:r>
    <w:r>
      <w:instrText xml:space="preserve"> PAGE </w:instrTex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/>
        <w:sz w:val="23"/>
        <w:szCs w:val="23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Bakırcı &amp; Keskin Hukuk Bürosu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Ziynet Eşyası Alacağı Dava Dilekçesi Örneği</dc:title>
  <dc:subject>Profesyonel örnek dilekçe – düzenlenebilir Word belgesi</dc:subject>
  <dc:creator>Av. Halil Bakırcı</dc:creator>
  <cp:lastModifiedBy>Av. Halil Bakırcı</cp:lastModifiedBy>
  <dcterms:created xsi:type="dcterms:W3CDTF">2026-09-10T22:18:25Z</dcterms:created>
  <dcterms:modified xsi:type="dcterms:W3CDTF">2026-09-10T22:18:25Z</dcterms:modified>
</cp:coreProperties>
</file>