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ZIYNET EŞYASI ALACAĞI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GÖREVLI MAHKEME AILE MAHKEMESIDIR. YETKI DAVALININ YERLEŞIM YERI VE SOMUT OLAYIN BAĞLANTISINA GÖRE HMK KURALLARIYLA BELIRLENIR.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Ziynet eşyalarının aynen iadesi; mümkün değilse bedelinin tahsili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ziynet davasında talep önce aynen iade, mümkün değilse bilirkişiyle belirlenecek güncel bedelin tahsili biçiminde kurulur. Fotoğraf/video, kuyumcu belgesi, tanık ve banka kayıtları ziynetin varlığı ile kimde kaldığını ispatlamak için kullanılır.</w:t>
      </w:r>
    </w:p>
    <w:p>
      <w:pPr/>
      <w:r>
        <w:rPr>
          <w:b/>
        </w:rPr>
        <w:t xml:space="preserve">2. </w:t>
      </w:r>
      <w:r>
        <w:t>Düğün ve takı merasiminde davacıya [LİSTE] ziynet takıldı/verildi.</w:t>
      </w:r>
    </w:p>
    <w:p>
      <w:pPr/>
      <w:r>
        <w:rPr>
          <w:b/>
        </w:rPr>
        <w:t xml:space="preserve">3. </w:t>
      </w:r>
      <w:r>
        <w:t>Ziynetler [SAKLAMA/BOZDURMA/ALMA] amacıyla davalıya teslim edildi veya davalının zilyetliğinde kaldı.</w:t>
      </w:r>
    </w:p>
    <w:p>
      <w:pPr/>
      <w:r>
        <w:rPr>
          <w:b/>
        </w:rPr>
        <w:t xml:space="preserve">4. </w:t>
      </w:r>
      <w:r>
        <w:t>Davacı [TARİH] tarihinde iade istedi; davalı iade etmedi.</w:t>
      </w:r>
    </w:p>
    <w:p>
      <w:pPr/>
      <w:r>
        <w:rPr>
          <w:b/>
        </w:rPr>
        <w:t xml:space="preserve">5. </w:t>
      </w:r>
      <w:r>
        <w:t>Her kalem tür, adet, ayar ve yaklaşık gramıyla ek listede gösterilmiştir.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m.6: </w:t>
      </w:r>
      <w:r>
        <w:t>Kanunda aksine hüküm yoksa taraflar haklarını dayandırdıkları olguları ispatlar.</w:t>
      </w:r>
    </w:p>
    <w:p>
      <w:pPr>
        <w:ind w:left="312"/>
      </w:pPr>
      <w:r>
        <w:rPr>
          <w:b/>
          <w:color w:val="1E3A8A"/>
        </w:rPr>
        <w:t xml:space="preserve">HMK m.190: </w:t>
      </w:r>
      <w:r>
        <w:t>İspat yükü, iddia edilen vakıadan lehine hak çıkaran tarafa aittir.</w:t>
      </w:r>
    </w:p>
    <w:p>
      <w:pPr>
        <w:ind w:left="312"/>
      </w:pPr>
      <w:r>
        <w:rPr>
          <w:b/>
          <w:color w:val="1E3A8A"/>
        </w:rPr>
        <w:t xml:space="preserve">TBK m.146: </w:t>
      </w:r>
      <w:r>
        <w:t>Kanunda başka süre öngörülmeyen alacaklar on yıllık zamanaşımına tabidir.</w:t>
      </w:r>
    </w:p>
    <w:p>
      <w:pPr>
        <w:ind w:left="312"/>
      </w:pPr>
      <w:r>
        <w:rPr>
          <w:b/>
          <w:color w:val="1E3A8A"/>
        </w:rPr>
        <w:t xml:space="preserve">4787 sayılı Kanun m.4: </w:t>
      </w:r>
      <w:r>
        <w:t>Aile hukukundan doğan ziynet uyuşmazlıkları Aile Mahkemesinde görülür.</w:t>
      </w:r>
    </w:p>
    <w:p>
      <w:pPr>
        <w:pStyle w:val="Heading1"/>
      </w:pPr>
      <w:r>
        <w:t>HUKUKİ NEDENLER</w:t>
      </w:r>
    </w:p>
    <w:p>
      <w:r>
        <w:t>TMK m.6, HMK m.190, TBK m.146, 4787 sayılı Kanun m.4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Düğün fotoğrafı ve video kayıtları</w:t>
      </w:r>
    </w:p>
    <w:p>
      <w:pPr/>
      <w:r>
        <w:rPr>
          <w:b/>
        </w:rPr>
        <w:t xml:space="preserve">2. </w:t>
      </w:r>
      <w:r>
        <w:t>Kuyumcu faturası/ekspertiz</w:t>
      </w:r>
    </w:p>
    <w:p>
      <w:pPr/>
      <w:r>
        <w:rPr>
          <w:b/>
        </w:rPr>
        <w:t xml:space="preserve">3. </w:t>
      </w:r>
      <w:r>
        <w:t>Banka ve bozdurma kayıtları</w:t>
      </w:r>
    </w:p>
    <w:p>
      <w:pPr/>
      <w:r>
        <w:rPr>
          <w:b/>
        </w:rPr>
        <w:t xml:space="preserve">4. </w:t>
      </w:r>
      <w:r>
        <w:t>Tanıklar</w:t>
      </w:r>
    </w:p>
    <w:p>
      <w:pPr/>
      <w:r>
        <w:rPr>
          <w:b/>
        </w:rPr>
        <w:t xml:space="preserve">5. </w:t>
      </w:r>
      <w:r>
        <w:t>Mesajlar ve iade talepleri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Listelenen ziynetlerin aynen iadesi,</w:t>
      </w:r>
    </w:p>
    <w:p>
      <w:pPr>
        <w:ind w:left="283"/>
      </w:pPr>
      <w:r>
        <w:rPr>
          <w:b/>
        </w:rPr>
        <w:t xml:space="preserve">2. </w:t>
      </w:r>
      <w:r>
        <w:t>Aynen iade mümkün değilse dava tarihindeki rayiç bedelin yasal faiziyle tahsili,</w:t>
      </w:r>
    </w:p>
    <w:p>
      <w:pPr>
        <w:ind w:left="283"/>
      </w:pPr>
      <w:r>
        <w:rPr>
          <w:b/>
        </w:rPr>
        <w:t xml:space="preserve">3. </w:t>
      </w:r>
      <w:r>
        <w:t>Bilirkişi incelemesi yapılması,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Düğün fotoğrafı ve video kayıtları</w:t>
      </w:r>
    </w:p>
    <w:p>
      <w:pPr/>
      <w:r>
        <w:t>2. Kuyumcu faturası/ekspertiz</w:t>
      </w:r>
    </w:p>
    <w:p>
      <w:pPr/>
      <w:r>
        <w:t>3. Banka ve bozdurma kayıtları</w:t>
      </w:r>
    </w:p>
    <w:p>
      <w:pPr/>
      <w:r>
        <w:t>4. Tanıklar</w:t>
      </w:r>
    </w:p>
    <w:p>
      <w:pPr/>
      <w:r>
        <w:t>5. Mesajlar ve iade talepleri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Görevli mahkeme Aile Mahkemesidir. Yetki davalının yerleşim yeri ve somut olayın bağlantısına göre HMK kurallarıyla belirlenir.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Ziynet mevcutsa aynen iade istemi mülkiyet hakkına dayanır. Aynen iade mümkün değilse bedel alacağı için TBK m.146’daki on yıllık genel zamanaşımı gözetilir.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Arabuluculuk dava şartı değildir. Ziynetlerin tür, adet, ayar ve gramları mümkün olduğunca tek tek listelenir.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Düğün ve takı merasiminde davacıya □ [LİSTE] ziynet takıldı/verildi.</w:t>
      </w:r>
    </w:p>
    <w:p>
      <w:pPr/>
      <w:r>
        <w:t>Ziynetler □ [SAKLAMA/BOZDURMA/ALMA] amacıyla davalıya teslim edildi veya davalının zilyetliğinde kaldı.</w:t>
      </w:r>
    </w:p>
    <w:p>
      <w:pPr/>
      <w:r>
        <w:t>Davacı □ [TARİH] tarihinde iade istedi; davalı iade etmedi.</w:t>
      </w:r>
    </w:p>
    <w:p>
      <w:pPr/>
      <w:r>
        <w:t>Her kalem tür, adet, ayar ve yaklaşık gramıyla ek listede gösterilmiştir.</w:t>
      </w:r>
    </w:p>
    <w:p>
      <w:pPr>
        <w:pStyle w:val="Heading2"/>
      </w:pPr>
      <w:r>
        <w:t>Başvuru öncesi kritik kontroller</w:t>
      </w:r>
    </w:p>
    <w:p>
      <w:pPr/>
      <w:r>
        <w:t>□ “Düğünde takılan bütün altınlar” demek yerine her kalemi adet, ayar ve gramla ayırın.</w:t>
      </w:r>
    </w:p>
    <w:p>
      <w:pPr/>
      <w:r>
        <w:t>□ Ziynetin davalıda kaldığını gösteren teslim veya fiilî hâkimiyet olgusunu açıklayın.</w:t>
      </w:r>
    </w:p>
    <w:p>
      <w:pPr/>
      <w:r>
        <w:t>□ Bedel talebini aynen iadenin mümkün olmaması koşuluna bağlayın.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hyperlink r:id="rId13">
        <w:r>
          <w:rPr>
            <w:color w:val="1e3a8a"/>
            <w:u w:val="single"/>
          </w:rPr>
          <w:t>4787 güncel metni</w:t>
        </w:r>
      </w:hyperlink>
    </w:p>
    <w:p>
      <w:hyperlink r:id="rId14">
        <w:r>
          <w:rPr>
            <w:color w:val="1e3a8a"/>
            <w:u w:val="single"/>
          </w:rPr>
          <w:t>TBK güncel metni</w:t>
        </w:r>
      </w:hyperlink>
    </w:p>
    <w:p>
      <w:pPr>
        <w:pStyle w:val="Heading2"/>
      </w:pPr>
      <w:r>
        <w:t>İlgili hukuk rehberleri</w:t>
      </w:r>
    </w:p>
    <w:p>
      <w:hyperlink r:id="rId15">
        <w:r>
          <w:rPr>
            <w:color w:val="1e3a8a"/>
            <w:u w:val="single"/>
          </w:rPr>
          <w:t>Ziynet eşyası alacağı davası</w:t>
        </w:r>
      </w:hyperlink>
    </w:p>
    <w:p>
      <w:hyperlink r:id="rId16">
        <w:r>
          <w:rPr>
            <w:color w:val="1e3a8a"/>
            <w:u w:val="single"/>
          </w:rPr>
          <w:t>Çekişmeli boşanma davası</w:t>
        </w:r>
      </w:hyperlink>
    </w:p>
    <w:p>
      <w:hyperlink r:id="rId17">
        <w:r>
          <w:rPr>
            <w:color w:val="1e3a8a"/>
            <w:u w:val="single"/>
          </w:rPr>
          <w:t>Boşanma davası nasıl açılır?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www.mevzuat.gov.tr/mevzuatmetin/1.5.4787.pdf" TargetMode="External"/><Relationship Id="rId14" Type="http://schemas.openxmlformats.org/officeDocument/2006/relationships/hyperlink" Target="https://www.mevzuat.gov.tr/mevzuatmetin/1.5.6098.pdf" TargetMode="External"/><Relationship Id="rId15" Type="http://schemas.openxmlformats.org/officeDocument/2006/relationships/hyperlink" Target="https://halilbakirci.av.tr/ziynet-esyasi-alacagi-davasi/" TargetMode="External"/><Relationship Id="rId16" Type="http://schemas.openxmlformats.org/officeDocument/2006/relationships/hyperlink" Target="https://halilbakirci.av.tr/cekismeli-bosanma-davasi/" TargetMode="External"/><Relationship Id="rId17" Type="http://schemas.openxmlformats.org/officeDocument/2006/relationships/hyperlink" Target="https://halilbakirci.av.tr/bosanma-davasi-nasil-acilir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Ziynet Eşyası Alacağı Dava Dilekçesi Örneği</dc:title>
  <dc:subject>ziynet eşyası dilekçesi</dc:subject>
  <dc:creator>Av. Halil Bakırcı</dc:creator>
  <cp:keywords>ziynet eşyası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