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İhalenin feshi şikâyet dilekçesi</w:t>
      </w:r>
    </w:p>
    <w:p>
      <w:pPr>
        <w:keepNext/>
        <w:widowControl/>
        <w:spacing w:before="140"/>
        <w:jc w:val="center"/>
      </w:pPr>
      <w:r>
        <w:rPr>
          <w:b/>
        </w:rPr>
        <w:t>[YETKİLİ YER] İCRA HUKUK MAHKEMESİNE</w:t>
      </w:r>
    </w:p>
    <w:p>
      <w:pPr>
        <w:widowControl/>
      </w:pPr>
      <w:r>
        <w:t>ŞİKÂYETÇİ: [AD SOYAD/UNVAN, KİMLİK NO, ADRES]</w:t>
      </w:r>
    </w:p>
    <w:p>
      <w:pPr>
        <w:widowControl/>
      </w:pPr>
      <w:r>
        <w:t>BAŞVURU SIFATI: [İİK m.134 UYARINCA BAŞVURU HAKKI VEREN SIFAT]</w:t>
      </w:r>
    </w:p>
    <w:p>
      <w:pPr>
        <w:widowControl/>
      </w:pPr>
      <w:r>
        <w:t>İLGİLİLER: [ALACAKLI, BORÇLU, İHALE ALICISI VE SOMUT DOSYANIN DİĞER İLGİLİLERİ]</w:t>
      </w:r>
    </w:p>
    <w:p>
      <w:pPr>
        <w:widowControl/>
      </w:pPr>
      <w:r>
        <w:t>İCRA DOSYASI: [DAİRE, DOSYA NO]</w:t>
      </w:r>
    </w:p>
    <w:p>
      <w:pPr>
        <w:widowControl/>
      </w:pPr>
      <w:r>
        <w:t>İHALE: [TARİH, SATIŞ NO, MALIN TAM TANIMI]</w:t>
      </w:r>
    </w:p>
    <w:p>
      <w:pPr>
        <w:widowControl/>
      </w:pPr>
      <w:r>
        <w:t>KONU: Belirtilen ihalenin İİK m.134 uyarınca feshi.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[TARİH] tarihinde yapılan ihaleye konu mal [TAM TANIM] olup şikâyetçinin başvuru hakkı [SIFAT VE DAYANAK] nedeniyledir.</w:t>
      </w:r>
    </w:p>
    <w:p>
      <w:pPr>
        <w:widowControl/>
      </w:pPr>
      <w:r>
        <w:t>2. Şikâyete konu usulsüzlük [İLAN, TEBLİĞ, ARTIRMA VEYA DİĞER SOMUT İŞLEM] şeklindedir. Usulsüzlüğün ihale sonucuna ve menfaatime etkisi [SOMUT ETKİ] olup [DELİL/EK NO] ile açıklanmaktadır.</w:t>
      </w:r>
    </w:p>
    <w:p>
      <w:pPr>
        <w:widowControl/>
      </w:pPr>
      <w:r>
        <w:t>3. Başvuru süresinin başlangıcı [İHALE TARİHİ VEYA KANUNİ İSTİSNA VARSA ÖĞRENME TARİHİ VE İSPATI] şeklindedir. Şikâyet [BAŞVURU TARİHİ] tarihinde yasal süre içinde yapılmaktadır.</w:t>
      </w:r>
    </w:p>
    <w:p>
      <w:pPr>
        <w:widowControl/>
      </w:pPr>
      <w:r>
        <w:t>4. Başvuru sıfatına göre İİK m.134 kapsamındaki harç ve teminat rejimi [SOMUT HUKUKİ DURUM] olup gerekli makbuz ve belgeler [BELGE BİLGİSİ] ile sunulmuştur.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İİK m.134 ve ilgili elektronik satış hükümleri.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İhale tutanağı, satış ilanı, tebliğ kayıtları, artırma kayıtları, kıymet takdiri ve şikâyet konusu usulsüzlüğü gösteren dosya belgeleri.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[İHALE TARİHİ, SATIŞ NO VE MAL] hakkındaki ihalenin belirtilen usulsüzlükler nedeniyle feshine; giderlerin hukuki duruma göre karara bağlanmasına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Şikâyetçi [AD SOYAD/UNVAN]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İhale ve satış belgeleri</w:t>
      </w:r>
    </w:p>
    <w:p>
      <w:pPr>
        <w:widowControl/>
      </w:pPr>
      <w:r>
        <w:t>2. Tebliğ veya istisnai öğrenme tarihi kanıtı</w:t>
      </w:r>
    </w:p>
    <w:p>
      <w:pPr>
        <w:widowControl/>
      </w:pPr>
      <w:r>
        <w:t>3. Başvuru sıfatına göre harç ve teminat belgeleri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İhalenin feshi şikâyet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