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İstinaf süresi için eski hâle getirme dilekçesi</w:t>
      </w:r>
    </w:p>
    <w:p>
      <w:pPr>
        <w:keepNext/>
        <w:widowControl/>
        <w:spacing w:before="140"/>
        <w:jc w:val="center"/>
      </w:pPr>
      <w:r>
        <w:rPr>
          <w:b/>
        </w:rPr>
        <w:t>[İLGİLİ] BÖLGE ADLİYE MAHKEMESİ HUKUK DAİRESİNE</w:t>
        <w:br/>
        <w:t>Gönderilmek üzere [İLK DERECE] MAHKEMESİNE</w:t>
      </w:r>
    </w:p>
    <w:p>
      <w:pPr>
        <w:widowControl/>
      </w:pPr>
      <w:r>
        <w:t>TALEP EDEN: [AD SOYAD/UNVAN, KİMLİK NO, ADRES]</w:t>
      </w:r>
    </w:p>
    <w:p>
      <w:pPr>
        <w:widowControl/>
      </w:pPr>
      <w:r>
        <w:t>KARŞI TARAF: [AD SOYAD/UNVAN]</w:t>
      </w:r>
    </w:p>
    <w:p>
      <w:pPr>
        <w:widowControl/>
      </w:pPr>
      <w:r>
        <w:t>DOSYA VE KARAR: [MAHKEME, ESAS NO, KARAR NO]</w:t>
      </w:r>
    </w:p>
    <w:p>
      <w:pPr>
        <w:widowControl/>
      </w:pPr>
      <w:r>
        <w:t>KONU: Elde olmayan nedenle kaçırılan istinaf süresi için eski hâle getirme.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Gerekçeli karar [TEBLİĞ TARİHİ] tarihinde tebliğ edilmiş ve istinaf süresi [SON GÜN] tarihinde sona ermiştir.</w:t>
      </w:r>
    </w:p>
    <w:p>
      <w:pPr>
        <w:widowControl/>
      </w:pPr>
      <w:r>
        <w:t>2. [ELDE OLMAYAN ENGEL] [BAŞLANGIÇ VE BİTİŞ TARİHLERİ] arasında başvuruyu engellemiştir. Engelin başvuruya etkisi [SOMUT NEDENSELLİK] olup [BELGE] ile açıklanmaktadır; yalnız rahatsızlık veya tebligat hesabına erişmeme iddiasıyla yetinilmemektedir.</w:t>
      </w:r>
    </w:p>
    <w:p>
      <w:pPr>
        <w:widowControl/>
      </w:pPr>
      <w:r>
        <w:t>3. Engel [KALKMA TARİHİ] tarihinde kalkmıştır. HMK m.96 kapsamında iki haftalık sürede bu talebi sunuyor; HMK m.97 uyarınca kaçırılan istinaf işlemini de aynı iki haftalık süre içinde ekteki istinaf dilekçesiyle tamamlıyorum.</w:t>
      </w:r>
    </w:p>
    <w:p>
      <w:pPr>
        <w:widowControl/>
      </w:pPr>
      <w:r>
        <w:t>4. Aynı sonuca ulaşılmasını sağlayan başka bir hukuki imkân [SOMUT DURUM] kapsamında bulunmamaktadır.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HMK m.95-101; özellikle istinaf süresinde yetkili merci yönünden m.98/2.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Gerekçeli karar, tebliğ kaydı, engelin niteliği ve tarihlerine ilişkin belgeler, birlikte sunulan istinaf dilekçesi.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Eski hâle getirme talebimin kabulüne, süresinde yapılamayan istinaf başvurusunun süresinde yapılmış sayılmasına ve ekteki istinaf dilekçesinin incelenmesine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Talep eden [AD SOYAD/UNVAN]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Gerekçeli karar ve tebliğ kaydı</w:t>
      </w:r>
    </w:p>
    <w:p>
      <w:pPr>
        <w:widowControl/>
      </w:pPr>
      <w:r>
        <w:t>2. Engel ve kalkma tarihini gösteren belgeler</w:t>
      </w:r>
    </w:p>
    <w:p>
      <w:pPr>
        <w:widowControl/>
      </w:pPr>
      <w:r>
        <w:t>3. Kaçırılan işlemi tamamlayan istinaf dilekçesi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İstinaf süresi için eski hâle getirme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