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Bilirkişi Kurulunda Ayrık Görüşün Rapora Yazılması Dilekçesi</w:t>
      </w:r>
    </w:p>
    <w:p>
      <w:pPr>
        <w:jc w:val="center"/>
      </w:pPr>
      <w:r>
        <w:rPr>
          <w:b/>
          <w:sz w:val="21"/>
        </w:rPr>
        <w:t>5271 sayılı Ceza Muhakemesi Kanunu m. 67/2</w:t>
      </w:r>
    </w:p>
    <w:p>
      <w:pPr>
        <w:jc w:val="center"/>
      </w:pPr>
      <w:r>
        <w:rPr>
          <w:b/>
        </w:rPr>
        <w:t>[... CUMHURİYET BAŞSAVCILIĞINA / ... CEZA MAHKEMESİNE]</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20"/>
        <w:gridCol w:w="7344"/>
      </w:tblGrid>
      <w:tr>
        <w:tc>
          <w:tcPr>
            <w:tcW w:type="dxa" w:w="2520"/>
            <w:vAlign w:val="center"/>
            <w:tcMar>
              <w:top w:w="80" w:type="dxa"/>
              <w:left w:w="80" w:type="dxa"/>
              <w:bottom w:w="80" w:type="dxa"/>
              <w:right w:w="80" w:type="dxa"/>
            </w:tcMar>
          </w:tcPr>
          <w:p>
            <w:r>
              <w:rPr>
                <w:b/>
              </w:rPr>
              <w:t>DOSYA NO</w:t>
            </w:r>
          </w:p>
        </w:tc>
        <w:tc>
          <w:tcPr>
            <w:tcW w:type="dxa" w:w="7344"/>
            <w:vAlign w:val="center"/>
            <w:tcMar>
              <w:top w:w="80" w:type="dxa"/>
              <w:left w:w="80" w:type="dxa"/>
              <w:bottom w:w="80" w:type="dxa"/>
              <w:right w:w="80" w:type="dxa"/>
            </w:tcMar>
          </w:tcPr>
          <w:p>
            <w:r>
              <w:t>[Soruşturma / esas numarası]</w:t>
            </w:r>
          </w:p>
        </w:tc>
      </w:tr>
      <w:tr>
        <w:tc>
          <w:tcPr>
            <w:tcW w:type="dxa" w:w="2520"/>
            <w:vAlign w:val="center"/>
            <w:tcMar>
              <w:top w:w="80" w:type="dxa"/>
              <w:left w:w="80" w:type="dxa"/>
              <w:bottom w:w="80" w:type="dxa"/>
              <w:right w:w="80" w:type="dxa"/>
            </w:tcMar>
          </w:tcPr>
          <w:p>
            <w:r>
              <w:rPr>
                <w:b/>
              </w:rPr>
              <w:t>BAŞVURAN BİLİRKİŞİ</w:t>
            </w:r>
          </w:p>
        </w:tc>
        <w:tc>
          <w:tcPr>
            <w:tcW w:type="dxa" w:w="7344"/>
            <w:vAlign w:val="center"/>
            <w:tcMar>
              <w:top w:w="80" w:type="dxa"/>
              <w:left w:w="80" w:type="dxa"/>
              <w:bottom w:w="80" w:type="dxa"/>
              <w:right w:w="80" w:type="dxa"/>
            </w:tcMar>
          </w:tcPr>
          <w:p>
            <w:r>
              <w:t>[Ad soyad · sicil numarası · uzmanlık alanı · tebligat adresi]</w:t>
            </w:r>
          </w:p>
        </w:tc>
      </w:tr>
      <w:tr>
        <w:tc>
          <w:tcPr>
            <w:tcW w:type="dxa" w:w="2520"/>
            <w:vAlign w:val="center"/>
            <w:tcMar>
              <w:top w:w="80" w:type="dxa"/>
              <w:left w:w="80" w:type="dxa"/>
              <w:bottom w:w="80" w:type="dxa"/>
              <w:right w:w="80" w:type="dxa"/>
            </w:tcMar>
          </w:tcPr>
          <w:p>
            <w:r>
              <w:rPr>
                <w:b/>
              </w:rPr>
              <w:t>KURUL ÜYELERİ</w:t>
            </w:r>
          </w:p>
        </w:tc>
        <w:tc>
          <w:tcPr>
            <w:tcW w:type="dxa" w:w="7344"/>
            <w:vAlign w:val="center"/>
            <w:tcMar>
              <w:top w:w="80" w:type="dxa"/>
              <w:left w:w="80" w:type="dxa"/>
              <w:bottom w:w="80" w:type="dxa"/>
              <w:right w:w="80" w:type="dxa"/>
            </w:tcMar>
          </w:tcPr>
          <w:p>
            <w:r>
              <w:t>[Ad soyad ve uzmanlık alanları]</w:t>
            </w:r>
          </w:p>
        </w:tc>
      </w:tr>
      <w:tr>
        <w:tc>
          <w:tcPr>
            <w:tcW w:type="dxa" w:w="2520"/>
            <w:vAlign w:val="center"/>
            <w:tcMar>
              <w:top w:w="80" w:type="dxa"/>
              <w:left w:w="80" w:type="dxa"/>
              <w:bottom w:w="80" w:type="dxa"/>
              <w:right w:w="80" w:type="dxa"/>
            </w:tcMar>
          </w:tcPr>
          <w:p>
            <w:r>
              <w:rPr>
                <w:b/>
              </w:rPr>
              <w:t>GÖREVLENDİRME</w:t>
            </w:r>
          </w:p>
        </w:tc>
        <w:tc>
          <w:tcPr>
            <w:tcW w:type="dxa" w:w="7344"/>
            <w:vAlign w:val="center"/>
            <w:tcMar>
              <w:top w:w="80" w:type="dxa"/>
              <w:left w:w="80" w:type="dxa"/>
              <w:bottom w:w="80" w:type="dxa"/>
              <w:right w:w="80" w:type="dxa"/>
            </w:tcMar>
          </w:tcPr>
          <w:p>
            <w:r>
              <w:t>[Karar tarihi ve sayısı · cevaplanacak teknik sorular]</w:t>
            </w:r>
          </w:p>
        </w:tc>
      </w:tr>
      <w:tr>
        <w:tc>
          <w:tcPr>
            <w:tcW w:type="dxa" w:w="2520"/>
            <w:vAlign w:val="center"/>
            <w:tcMar>
              <w:top w:w="80" w:type="dxa"/>
              <w:left w:w="80" w:type="dxa"/>
              <w:bottom w:w="80" w:type="dxa"/>
              <w:right w:w="80" w:type="dxa"/>
            </w:tcMar>
          </w:tcPr>
          <w:p>
            <w:r>
              <w:rPr>
                <w:b/>
              </w:rPr>
              <w:t>RAPOR / TASLAK</w:t>
            </w:r>
          </w:p>
        </w:tc>
        <w:tc>
          <w:tcPr>
            <w:tcW w:type="dxa" w:w="7344"/>
            <w:vAlign w:val="center"/>
            <w:tcMar>
              <w:top w:w="80" w:type="dxa"/>
              <w:left w:w="80" w:type="dxa"/>
              <w:bottom w:w="80" w:type="dxa"/>
              <w:right w:w="80" w:type="dxa"/>
            </w:tcMar>
          </w:tcPr>
          <w:p>
            <w:r>
              <w:t>[Tarih · evrak numarası veya taslak sürümü]</w:t>
            </w:r>
          </w:p>
        </w:tc>
      </w:tr>
      <w:tr>
        <w:tc>
          <w:tcPr>
            <w:tcW w:type="dxa" w:w="2520"/>
            <w:vAlign w:val="center"/>
            <w:tcMar>
              <w:top w:w="80" w:type="dxa"/>
              <w:left w:w="80" w:type="dxa"/>
              <w:bottom w:w="80" w:type="dxa"/>
              <w:right w:w="80" w:type="dxa"/>
            </w:tcMar>
          </w:tcPr>
          <w:p>
            <w:r>
              <w:rPr>
                <w:b/>
              </w:rPr>
              <w:t>KONU</w:t>
            </w:r>
          </w:p>
        </w:tc>
        <w:tc>
          <w:tcPr>
            <w:tcW w:type="dxa" w:w="7344"/>
            <w:vAlign w:val="center"/>
            <w:tcMar>
              <w:top w:w="80" w:type="dxa"/>
              <w:left w:w="80" w:type="dxa"/>
              <w:bottom w:w="80" w:type="dxa"/>
              <w:right w:w="80" w:type="dxa"/>
            </w:tcMar>
          </w:tcPr>
          <w:p>
            <w:r>
              <w:t>CMK m.67/2 uyarınca gerekçeli ayrık görüşün kurul raporuna alınması ve raporla birlikte dosyaya sunulması talebidir.</w:t>
            </w:r>
          </w:p>
        </w:tc>
      </w:tr>
    </w:tbl>
    <w:p>
      <w:pPr>
        <w:pStyle w:val="Heading1"/>
      </w:pPr>
      <w:r>
        <w:t>AÇIKLAMALAR</w:t>
      </w:r>
    </w:p>
    <w:p>
      <w:r>
        <w:t>1. [Tarih] tarihli görevlendirme kararıyla yukarıda adı yazılı kurul üyeleri, [inceleme konusu] hakkında [soru numaraları] yönünden birlikte bilirkişi olarak atanmıştır. İnceleme materyali [tarih] tarihinde teslim edilmiş; kurul çalışması [toplantı / ortak veri inceleme tarihleri] üzerinde yürütülmüştür.</w:t>
      </w:r>
    </w:p>
    <w:p>
      <w:r>
        <w:t>2. Kurul üyeleri [ortak tespitler] konusunda birleşmiştir. Görüş ayrılığı, görevlendirme kararındaki [soru numarası ve tam teknik soru] bakımından ortaya çıkmıştır. Başvuran bilirkişi, diğer ortak bulgulara karşı çıkmamakta; yalnız aşağıda belirtilen yöntem, veri ve sonuç yönünden ayrık görüş bildirmektedir.</w:t>
      </w:r>
    </w:p>
    <w:p>
      <w:r>
        <w:t>3. Çoğunluk metninde [sayfa/bölüm] altında [çoğunluk sonucunun teknik özeti] kabul edilmiştir. Bu sonuca dayanak gösterilen veri [dosya evrakı / numune / log / hesap çizelgesi], yöntem ise [uygulanan yöntem] olarak yazılmıştır.</w:t>
      </w:r>
    </w:p>
    <w:p>
      <w:r>
        <w:t>4. Başvuran bilirkişinin ayrık görüşü şudur: [açık teknik sonuç]. Bu görüşün dayanağı [belge/veri adı ve dosya sıra numarası], kullanılan yöntem [yöntem ve doğrulama adımları], hesap veya karşılaştırma sonucu [özet] olup ayrıntılı çizelge Ek-2’dedir.</w:t>
      </w:r>
    </w:p>
    <w:p>
      <w:r>
        <w:t>5. Çoğunluk sonucundan ayrılma nedeni, [veri alanı / ölçüm eşiği / formül / teknik standart / zaman kaydı] üzerinde [somut farklılık] bulunmasıdır. Çoğunluk metnindeki [belirli adım] uygulanınca [sonuç]; aynı veri [doğru olduğu açıklanan yöntem] ile değerlendirildiğinde [ayrık sonuç] elde edilmektedir. Farkın ara hesapları ve kaynakları Ek-2’de gösterilmiştir.</w:t>
      </w:r>
    </w:p>
    <w:p>
      <w:r>
        <w:t>6. Ayrık görüş, suçun hukuki niteliği, kast, kusur, delilin hukuka uygunluğu veya sanığın cezai sorumluluğu hakkında değildir. Değerlendirme yalnız görevlendirme kararındaki özel ve teknik soruyla sınırlıdır. CMK m.67/3’teki hukuki değerlendirme yasağı gözetilmiştir.</w:t>
      </w:r>
    </w:p>
    <w:p>
      <w:r>
        <w:t>7. Gerekçeli ayrık görüş metni [tarih] tarihinde kurul üyelerine [UYAP / kurumsal e-posta / imzalı teslim] yoluyla iletilmiştir. Buna karşın [rapor taslağında ayrık görüşe yer verilmemiş / nihai rapor oybirliği ibaresiyle sunulmuş / yalnız gerekçesiz katılmıyorum notu bırakılmış]tır. İletim kaydı Ek-3’tedir.</w:t>
      </w:r>
    </w:p>
    <w:p>
      <w:r>
        <w:t>8. CMK m.67/2, birden çok atanmış bilirkişilerin değişik görüşleri veya ortak sonuçlar üzerindeki ayrık görüşleri gerekçeleriyle birlikte rapora yazmalarını zorunlu tutmaktadır. Ek-1’deki gerekçeli ayrık görüşün rapordan çıkarılması, teknik görüş farklılığının yargılama makamı ve taraflarca denetlenmesini engeller.</w:t>
      </w:r>
    </w:p>
    <w:p>
      <w:r>
        <w:t>9. Ek-1’deki metin [sayfa sayısı] sayfa olup tarafımdan imzalanmıştır. Ana rapor içinde ayrı başlık altında yer verilmesi mümkündür. Teknik olarak ayrı evrak halinde sunulacaksa ana raporda bu ekin adı, sahibi, tarihi ve sayfa sayısı gösterilmeli; raporla aynı dosya zincirinde muhafaza edilmelidir.</w:t>
      </w:r>
    </w:p>
    <w:p>
      <w:r>
        <w:t>10. [Rapor teslim edilmişse:] Çoğunluk raporu [tarih ve evrak numarası] ile dosyaya sunulmuştur. Ayrık görüşün raporla ilişkilendirilmesi, raporun oybirliğiyle hazırlanmış sayılmaması ve CMK m.67/4-5 kapsamındaki inceleme ve itiraz haklarının ayrık görüş yönünden de kullanılabilmesi için bu başvuru gecikmeksizin yapılmaktadır.</w:t>
      </w:r>
    </w:p>
    <w:p>
      <w:pPr>
        <w:pStyle w:val="Heading1"/>
      </w:pPr>
      <w:r>
        <w:t>TEKNİK AYRIŞMA ÇİZELGESİ</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44"/>
        <w:gridCol w:w="2592"/>
        <w:gridCol w:w="2592"/>
        <w:gridCol w:w="2592"/>
      </w:tblGrid>
      <w:tr>
        <w:tc>
          <w:tcPr>
            <w:tcW w:type="dxa" w:w="1944"/>
            <w:shd/>
            <w:tcMar>
              <w:top w:w="70" w:type="dxa"/>
              <w:left w:w="70" w:type="dxa"/>
              <w:bottom w:w="70" w:type="dxa"/>
              <w:right w:w="70" w:type="dxa"/>
            </w:tcMar>
          </w:tcPr>
          <w:p>
            <w:r>
              <w:rPr>
                <w:rFonts w:ascii="Arial" w:hAnsi="Arial"/>
                <w:b/>
                <w:sz w:val="16"/>
              </w:rPr>
              <w:t>İnceleme noktası</w:t>
            </w:r>
          </w:p>
        </w:tc>
        <w:tc>
          <w:tcPr>
            <w:tcW w:type="dxa" w:w="2592"/>
            <w:shd/>
            <w:tcMar>
              <w:top w:w="70" w:type="dxa"/>
              <w:left w:w="70" w:type="dxa"/>
              <w:bottom w:w="70" w:type="dxa"/>
              <w:right w:w="70" w:type="dxa"/>
            </w:tcMar>
          </w:tcPr>
          <w:p>
            <w:r>
              <w:rPr>
                <w:rFonts w:ascii="Arial" w:hAnsi="Arial"/>
                <w:b/>
                <w:sz w:val="16"/>
              </w:rPr>
              <w:t>Çoğunluk yaklaşımı</w:t>
            </w:r>
          </w:p>
        </w:tc>
        <w:tc>
          <w:tcPr>
            <w:tcW w:type="dxa" w:w="2592"/>
            <w:shd/>
            <w:tcMar>
              <w:top w:w="70" w:type="dxa"/>
              <w:left w:w="70" w:type="dxa"/>
              <w:bottom w:w="70" w:type="dxa"/>
              <w:right w:w="70" w:type="dxa"/>
            </w:tcMar>
          </w:tcPr>
          <w:p>
            <w:r>
              <w:rPr>
                <w:rFonts w:ascii="Arial" w:hAnsi="Arial"/>
                <w:b/>
                <w:sz w:val="16"/>
              </w:rPr>
              <w:t>Ayrık görüş</w:t>
            </w:r>
          </w:p>
        </w:tc>
        <w:tc>
          <w:tcPr>
            <w:tcW w:type="dxa" w:w="2592"/>
            <w:shd/>
            <w:tcMar>
              <w:top w:w="70" w:type="dxa"/>
              <w:left w:w="70" w:type="dxa"/>
              <w:bottom w:w="70" w:type="dxa"/>
              <w:right w:w="70" w:type="dxa"/>
            </w:tcMar>
          </w:tcPr>
          <w:p>
            <w:r>
              <w:rPr>
                <w:rFonts w:ascii="Arial" w:hAnsi="Arial"/>
                <w:b/>
                <w:sz w:val="16"/>
              </w:rPr>
              <w:t>Dayanak kayıt</w:t>
            </w:r>
          </w:p>
        </w:tc>
      </w:tr>
      <w:tr>
        <w:tc>
          <w:tcPr>
            <w:tcW w:type="dxa" w:w="1944"/>
            <w:vAlign w:val="center"/>
            <w:shd/>
            <w:tcMar>
              <w:top w:w="70" w:type="dxa"/>
              <w:left w:w="70" w:type="dxa"/>
              <w:bottom w:w="70" w:type="dxa"/>
              <w:right w:w="70" w:type="dxa"/>
            </w:tcMar>
          </w:tcPr>
          <w:p>
            <w:r>
              <w:rPr>
                <w:rFonts w:ascii="Arial" w:hAnsi="Arial"/>
                <w:sz w:val="16"/>
              </w:rPr>
              <w:t>[Soru / hesap adımı]</w:t>
            </w:r>
          </w:p>
        </w:tc>
        <w:tc>
          <w:tcPr>
            <w:tcW w:type="dxa" w:w="2592"/>
            <w:vAlign w:val="center"/>
            <w:shd/>
            <w:tcMar>
              <w:top w:w="70" w:type="dxa"/>
              <w:left w:w="70" w:type="dxa"/>
              <w:bottom w:w="70" w:type="dxa"/>
              <w:right w:w="70" w:type="dxa"/>
            </w:tcMar>
          </w:tcPr>
          <w:p>
            <w:r>
              <w:rPr>
                <w:rFonts w:ascii="Arial" w:hAnsi="Arial"/>
                <w:sz w:val="16"/>
              </w:rPr>
              <w:t>[Özet]</w:t>
            </w:r>
          </w:p>
        </w:tc>
        <w:tc>
          <w:tcPr>
            <w:tcW w:type="dxa" w:w="2592"/>
            <w:vAlign w:val="center"/>
            <w:shd/>
            <w:tcMar>
              <w:top w:w="70" w:type="dxa"/>
              <w:left w:w="70" w:type="dxa"/>
              <w:bottom w:w="70" w:type="dxa"/>
              <w:right w:w="70" w:type="dxa"/>
            </w:tcMar>
          </w:tcPr>
          <w:p>
            <w:r>
              <w:rPr>
                <w:rFonts w:ascii="Arial" w:hAnsi="Arial"/>
                <w:sz w:val="16"/>
              </w:rPr>
              <w:t>[Özet]</w:t>
            </w:r>
          </w:p>
        </w:tc>
        <w:tc>
          <w:tcPr>
            <w:tcW w:type="dxa" w:w="2592"/>
            <w:vAlign w:val="center"/>
            <w:shd/>
            <w:tcMar>
              <w:top w:w="70" w:type="dxa"/>
              <w:left w:w="70" w:type="dxa"/>
              <w:bottom w:w="70" w:type="dxa"/>
              <w:right w:w="70" w:type="dxa"/>
            </w:tcMar>
          </w:tcPr>
          <w:p>
            <w:r>
              <w:rPr>
                <w:rFonts w:ascii="Arial" w:hAnsi="Arial"/>
                <w:sz w:val="16"/>
              </w:rPr>
              <w:t>[Evrak / veri no]</w:t>
            </w:r>
          </w:p>
        </w:tc>
      </w:tr>
      <w:tr>
        <w:tc>
          <w:tcPr>
            <w:tcW w:type="dxa" w:w="1944"/>
            <w:vAlign w:val="center"/>
            <w:shd/>
            <w:tcMar>
              <w:top w:w="70" w:type="dxa"/>
              <w:left w:w="70" w:type="dxa"/>
              <w:bottom w:w="70" w:type="dxa"/>
              <w:right w:w="70" w:type="dxa"/>
            </w:tcMar>
          </w:tcPr>
          <w:p>
            <w:r>
              <w:rPr>
                <w:rFonts w:ascii="Arial" w:hAnsi="Arial"/>
                <w:sz w:val="16"/>
              </w:rPr>
              <w:t>[Yöntem / standart]</w:t>
            </w:r>
          </w:p>
        </w:tc>
        <w:tc>
          <w:tcPr>
            <w:tcW w:type="dxa" w:w="2592"/>
            <w:vAlign w:val="center"/>
            <w:shd/>
            <w:tcMar>
              <w:top w:w="70" w:type="dxa"/>
              <w:left w:w="70" w:type="dxa"/>
              <w:bottom w:w="70" w:type="dxa"/>
              <w:right w:w="70" w:type="dxa"/>
            </w:tcMar>
          </w:tcPr>
          <w:p>
            <w:r>
              <w:rPr>
                <w:rFonts w:ascii="Arial" w:hAnsi="Arial"/>
                <w:sz w:val="16"/>
              </w:rPr>
              <w:t>[Özet]</w:t>
            </w:r>
          </w:p>
        </w:tc>
        <w:tc>
          <w:tcPr>
            <w:tcW w:type="dxa" w:w="2592"/>
            <w:vAlign w:val="center"/>
            <w:shd/>
            <w:tcMar>
              <w:top w:w="70" w:type="dxa"/>
              <w:left w:w="70" w:type="dxa"/>
              <w:bottom w:w="70" w:type="dxa"/>
              <w:right w:w="70" w:type="dxa"/>
            </w:tcMar>
          </w:tcPr>
          <w:p>
            <w:r>
              <w:rPr>
                <w:rFonts w:ascii="Arial" w:hAnsi="Arial"/>
                <w:sz w:val="16"/>
              </w:rPr>
              <w:t>[Özet]</w:t>
            </w:r>
          </w:p>
        </w:tc>
        <w:tc>
          <w:tcPr>
            <w:tcW w:type="dxa" w:w="2592"/>
            <w:vAlign w:val="center"/>
            <w:shd/>
            <w:tcMar>
              <w:top w:w="70" w:type="dxa"/>
              <w:left w:w="70" w:type="dxa"/>
              <w:bottom w:w="70" w:type="dxa"/>
              <w:right w:w="70" w:type="dxa"/>
            </w:tcMar>
          </w:tcPr>
          <w:p>
            <w:r>
              <w:rPr>
                <w:rFonts w:ascii="Arial" w:hAnsi="Arial"/>
                <w:sz w:val="16"/>
              </w:rPr>
              <w:t>[Kaynak / sürüm]</w:t>
            </w:r>
          </w:p>
        </w:tc>
      </w:tr>
      <w:tr>
        <w:tc>
          <w:tcPr>
            <w:tcW w:type="dxa" w:w="1944"/>
            <w:vAlign w:val="center"/>
            <w:shd/>
            <w:tcMar>
              <w:top w:w="70" w:type="dxa"/>
              <w:left w:w="70" w:type="dxa"/>
              <w:bottom w:w="70" w:type="dxa"/>
              <w:right w:w="70" w:type="dxa"/>
            </w:tcMar>
          </w:tcPr>
          <w:p>
            <w:r>
              <w:rPr>
                <w:rFonts w:ascii="Arial" w:hAnsi="Arial"/>
                <w:sz w:val="16"/>
              </w:rPr>
              <w:t>[Nihai teknik sonuç]</w:t>
            </w:r>
          </w:p>
        </w:tc>
        <w:tc>
          <w:tcPr>
            <w:tcW w:type="dxa" w:w="2592"/>
            <w:vAlign w:val="center"/>
            <w:shd/>
            <w:tcMar>
              <w:top w:w="70" w:type="dxa"/>
              <w:left w:w="70" w:type="dxa"/>
              <w:bottom w:w="70" w:type="dxa"/>
              <w:right w:w="70" w:type="dxa"/>
            </w:tcMar>
          </w:tcPr>
          <w:p>
            <w:r>
              <w:rPr>
                <w:rFonts w:ascii="Arial" w:hAnsi="Arial"/>
                <w:sz w:val="16"/>
              </w:rPr>
              <w:t>[Özet]</w:t>
            </w:r>
          </w:p>
        </w:tc>
        <w:tc>
          <w:tcPr>
            <w:tcW w:type="dxa" w:w="2592"/>
            <w:vAlign w:val="center"/>
            <w:shd/>
            <w:tcMar>
              <w:top w:w="70" w:type="dxa"/>
              <w:left w:w="70" w:type="dxa"/>
              <w:bottom w:w="70" w:type="dxa"/>
              <w:right w:w="70" w:type="dxa"/>
            </w:tcMar>
          </w:tcPr>
          <w:p>
            <w:r>
              <w:rPr>
                <w:rFonts w:ascii="Arial" w:hAnsi="Arial"/>
                <w:sz w:val="16"/>
              </w:rPr>
              <w:t>[Özet]</w:t>
            </w:r>
          </w:p>
        </w:tc>
        <w:tc>
          <w:tcPr>
            <w:tcW w:type="dxa" w:w="2592"/>
            <w:vAlign w:val="center"/>
            <w:shd/>
            <w:tcMar>
              <w:top w:w="70" w:type="dxa"/>
              <w:left w:w="70" w:type="dxa"/>
              <w:bottom w:w="70" w:type="dxa"/>
              <w:right w:w="70" w:type="dxa"/>
            </w:tcMar>
          </w:tcPr>
          <w:p>
            <w:r>
              <w:rPr>
                <w:rFonts w:ascii="Arial" w:hAnsi="Arial"/>
                <w:sz w:val="16"/>
              </w:rPr>
              <w:t>[Ek-2 çizelge]</w:t>
            </w:r>
          </w:p>
        </w:tc>
      </w:tr>
    </w:tbl>
    <w:p>
      <w:pPr>
        <w:pStyle w:val="Heading1"/>
      </w:pPr>
      <w:r>
        <w:t>HUKUKİ NEDENLER</w:t>
      </w:r>
    </w:p>
    <w:p>
      <w:r>
        <w:t>5271 sayılı Ceza Muhakemesi Kanunu m.63, 66, 67/1-5 ve ilgili hükümler; 6754 sayılı Bilirkişilik Kanunu; Bilirkişilik Yönetmeliğinin görevin bizzat, bağımsız, tarafsız ve uzmanlık sınırları içinde yürütülmesine ilişkin hükümleri.</w:t>
      </w:r>
    </w:p>
    <w:p>
      <w:pPr>
        <w:pStyle w:val="Heading1"/>
      </w:pPr>
      <w:r>
        <w:t>SONUÇ VE İSTEM</w:t>
      </w:r>
    </w:p>
    <w:p>
      <w:r>
        <w:t>Açıklanan nedenlerle;</w:t>
      </w:r>
    </w:p>
    <w:p>
      <w:pPr>
        <w:pStyle w:val="ListNumber"/>
      </w:pPr>
      <w:r>
        <w:t>Ek-1’de sunulan tarihli ve imzalı gerekçeli ayrık görüşün CMK m.67/2 uyarınca kurul raporunun ayrılmaz parçası olarak dosyaya alınmasına,</w:t>
      </w:r>
    </w:p>
    <w:p>
      <w:pPr>
        <w:pStyle w:val="ListNumber"/>
      </w:pPr>
      <w:r>
        <w:t>Kurul raporunun oybirliğiyle hazırlanmış sayılmamasına; çoğunluk ve ayrık görüş sahiplerinin dosya kaydında açıkça ayrılmasına,</w:t>
      </w:r>
    </w:p>
    <w:p>
      <w:pPr>
        <w:pStyle w:val="ListNumber"/>
      </w:pPr>
      <w:r>
        <w:t>Teknik olarak mümkünse ayrık görüşün ana raporda ayrı başlık altında gösterilmesine; ayrı evrak olarak tutulacaksa ana raporla açıkça ilişkilendirilmesine,</w:t>
      </w:r>
    </w:p>
    <w:p>
      <w:pPr>
        <w:pStyle w:val="ListNumber"/>
      </w:pPr>
      <w:r>
        <w:t>Çoğunluk raporu ile ayrık görüşün CMK m.67/4 uyarınca birlikte ilgililere verilmesine,</w:t>
      </w:r>
    </w:p>
    <w:p>
      <w:pPr>
        <w:pStyle w:val="ListNumber"/>
      </w:pPr>
      <w:r>
        <w:t>Rapor daha önce bildirilmişse CMK m.67/5 kapsamındaki açıklama, itiraz ve yeni inceleme taleplerinin ayrık görüş yönünden kullanılabilmesi için uygun süre verilmesine karar verilmesini saygıyla arz ederim.</w:t>
      </w:r>
    </w:p>
    <w:p>
      <w:pPr>
        <w:jc w:val="right"/>
      </w:pPr>
      <w:r>
        <w:rPr>
          <w:b/>
        </w:rPr>
        <w:t>[Tarih]</w:t>
        <w:br/>
        <w:t>Bilirkişi</w:t>
        <w:br/>
        <w:t>[Ad Soyad · Sicil No]</w:t>
        <w:br/>
        <w:t>(E-İMZALIDIR)</w:t>
      </w:r>
    </w:p>
    <w:p>
      <w:pPr>
        <w:pStyle w:val="Heading1"/>
      </w:pPr>
      <w:r>
        <w:t>EKLER</w:t>
      </w:r>
    </w:p>
    <w:p>
      <w:pPr>
        <w:pStyle w:val="ListBullet"/>
      </w:pPr>
      <w:r>
        <w:t>Ek-1: Gerekçeli ayrık görüş metni</w:t>
      </w:r>
    </w:p>
    <w:p>
      <w:pPr>
        <w:pStyle w:val="ListBullet"/>
      </w:pPr>
      <w:r>
        <w:t>Ek-2: Teknik veri, yöntem ve hesap karşılaştırma çizelgesi</w:t>
      </w:r>
    </w:p>
    <w:p>
      <w:pPr>
        <w:pStyle w:val="ListBullet"/>
      </w:pPr>
      <w:r>
        <w:t>Ek-3: Ayrık görüşün kurula iletildiğini gösteren kayıt</w:t>
      </w:r>
    </w:p>
    <w:p>
      <w:pPr>
        <w:pStyle w:val="ListBullet"/>
      </w:pPr>
      <w:r>
        <w:t>Ek-4: Görevlendirme kararı ve kurul üyeleri kaydı</w:t>
      </w:r>
    </w:p>
    <w:p>
      <w:pPr>
        <w:pStyle w:val="ListBullet"/>
      </w:pPr>
      <w:r>
        <w:t>Ek-5: Varsa çoğunluk raporu, taslak veya rapor teslim evrakı</w:t>
      </w:r>
    </w:p>
    <w:p>
      <w:pPr>
        <w:pStyle w:val="Heading1"/>
      </w:pPr>
      <w:r>
        <w:t>DOLDURMA KONTROLÜ</w:t>
      </w:r>
    </w:p>
    <w:p>
      <w:r>
        <w:t>Köşeli alanları gerçek dosya kayıtlarıyla doldurun; kullanılmayan seçenekleri silin. Ayrık görüşü tarih ve imza ile ekleyin. Çoğunluk ve ayrık görüş arasındaki farkı soru, veri, yöntem ve sonuç düzeyinde tekilleştirin. Dosyada bulunmayan yazışma, hesap, standart veya teslim kaydı eklemeyin. Sunulacak son nüshada bu kontrol bölümünü silin.</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