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t>Bilirkişi Ücret ve Gider Ödeme Talebi</w:t>
      </w:r>
    </w:p>
    <w:p>
      <w:pPr>
        <w:spacing w:after="80"/>
        <w:jc w:val="center"/>
      </w:pPr>
      <w:r>
        <w:rPr>
          <w:rFonts w:ascii="Arial" w:hAnsi="Arial"/>
          <w:b/>
          <w:sz w:val="22"/>
        </w:rPr>
        <w:t>CMK m. 72  Bilirkişilik Yönetmeliği m. 57  2026 Yılı Tarife</w:t>
      </w:r>
    </w:p>
    <w:p>
      <w:pPr>
        <w:spacing w:after="80"/>
        <w:jc w:val="center"/>
      </w:pPr>
      <w:r>
        <w:rPr>
          <w:rFonts w:ascii="Arial" w:hAnsi="Arial"/>
          <w:b/>
          <w:sz w:val="21"/>
        </w:rPr>
        <w:t>[… CUMHURİYET BAŞSAVCILIĞINA / … CEZA MAHKEMESİNE]</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c>
          <w:tcPr>
            <w:tcW w:type="dxa" w:w="2376"/>
            <w:shd w:fill="F3F6F8"/>
            <w:vAlign w:val="center"/>
            <w:tcMar>
              <w:top w:w="90" w:type="dxa"/>
              <w:start w:w="110" w:type="dxa"/>
              <w:bottom w:w="90" w:type="dxa"/>
              <w:end w:w="110" w:type="dxa"/>
            </w:tcMar>
          </w:tcPr>
          <w:p>
            <w:pPr>
              <w:spacing w:after="0" w:line="240" w:lineRule="auto"/>
            </w:pPr>
            <w:r>
              <w:rPr>
                <w:rFonts w:ascii="Arial" w:hAnsi="Arial"/>
                <w:b/>
                <w:sz w:val="18"/>
              </w:rPr>
              <w:t>SORUŞTURMA / ESAS NO</w:t>
            </w:r>
          </w:p>
        </w:tc>
        <w:tc>
          <w:tcPr>
            <w:tcW w:type="dxa" w:w="7848"/>
            <w:shd w:fill="F3F6F8"/>
            <w:vAlign w:val="center"/>
            <w:tcMar>
              <w:top w:w="90" w:type="dxa"/>
              <w:start w:w="110" w:type="dxa"/>
              <w:bottom w:w="90" w:type="dxa"/>
              <w:end w:w="110" w:type="dxa"/>
            </w:tcMar>
          </w:tcPr>
          <w:p>
            <w:pPr>
              <w:spacing w:after="0" w:line="240" w:lineRule="auto"/>
            </w:pPr>
            <w:r>
              <w:rPr>
                <w:rFonts w:ascii="Arial" w:hAnsi="Arial"/>
                <w:sz w:val="18"/>
              </w:rPr>
              <w:t>[Dosya numarası]</w:t>
            </w:r>
          </w:p>
        </w:tc>
      </w:tr>
      <w:tr>
        <w:tc>
          <w:tcPr>
            <w:tcW w:type="dxa" w:w="2376"/>
            <w:vAlign w:val="center"/>
            <w:tcMar>
              <w:top w:w="90" w:type="dxa"/>
              <w:start w:w="110" w:type="dxa"/>
              <w:bottom w:w="90" w:type="dxa"/>
              <w:end w:w="110" w:type="dxa"/>
            </w:tcMar>
          </w:tcPr>
          <w:p>
            <w:pPr>
              <w:spacing w:after="0" w:line="240" w:lineRule="auto"/>
            </w:pPr>
            <w:r>
              <w:rPr>
                <w:rFonts w:ascii="Arial" w:hAnsi="Arial"/>
                <w:b/>
                <w:sz w:val="18"/>
              </w:rPr>
              <w:t>TALEPTE BULUNAN</w:t>
            </w:r>
          </w:p>
        </w:tc>
        <w:tc>
          <w:tcPr>
            <w:tcW w:type="dxa" w:w="7848"/>
            <w:vAlign w:val="center"/>
            <w:tcMar>
              <w:top w:w="90" w:type="dxa"/>
              <w:start w:w="110" w:type="dxa"/>
              <w:bottom w:w="90" w:type="dxa"/>
              <w:end w:w="110" w:type="dxa"/>
            </w:tcMar>
          </w:tcPr>
          <w:p>
            <w:pPr>
              <w:spacing w:after="0" w:line="240" w:lineRule="auto"/>
            </w:pPr>
            <w:r>
              <w:rPr>
                <w:rFonts w:ascii="Arial" w:hAnsi="Arial"/>
                <w:sz w:val="18"/>
              </w:rPr>
              <w:t>[Bilirkişinin adı soyadı · sicil numarası · uzmanlık alanı]</w:t>
            </w:r>
          </w:p>
        </w:tc>
      </w:tr>
      <w:tr>
        <w:tc>
          <w:tcPr>
            <w:tcW w:type="dxa" w:w="2376"/>
            <w:shd w:fill="F3F6F8"/>
            <w:vAlign w:val="center"/>
            <w:tcMar>
              <w:top w:w="90" w:type="dxa"/>
              <w:start w:w="110" w:type="dxa"/>
              <w:bottom w:w="90" w:type="dxa"/>
              <w:end w:w="110" w:type="dxa"/>
            </w:tcMar>
          </w:tcPr>
          <w:p>
            <w:pPr>
              <w:spacing w:after="0" w:line="240" w:lineRule="auto"/>
            </w:pPr>
            <w:r>
              <w:rPr>
                <w:rFonts w:ascii="Arial" w:hAnsi="Arial"/>
                <w:b/>
                <w:sz w:val="18"/>
              </w:rPr>
              <w:t>GÖREVLENDİRME</w:t>
            </w:r>
          </w:p>
        </w:tc>
        <w:tc>
          <w:tcPr>
            <w:tcW w:type="dxa" w:w="7848"/>
            <w:shd w:fill="F3F6F8"/>
            <w:vAlign w:val="center"/>
            <w:tcMar>
              <w:top w:w="90" w:type="dxa"/>
              <w:start w:w="110" w:type="dxa"/>
              <w:bottom w:w="90" w:type="dxa"/>
              <w:end w:w="110" w:type="dxa"/>
            </w:tcMar>
          </w:tcPr>
          <w:p>
            <w:pPr>
              <w:spacing w:after="0" w:line="240" w:lineRule="auto"/>
            </w:pPr>
            <w:r>
              <w:rPr>
                <w:rFonts w:ascii="Arial" w:hAnsi="Arial"/>
                <w:sz w:val="18"/>
              </w:rPr>
              <w:t>[Karar tarihi · görev konusu · rapor teslim tarihi]</w:t>
            </w:r>
          </w:p>
        </w:tc>
      </w:tr>
      <w:tr>
        <w:tc>
          <w:tcPr>
            <w:tcW w:type="dxa" w:w="2376"/>
            <w:vAlign w:val="center"/>
            <w:tcMar>
              <w:top w:w="90" w:type="dxa"/>
              <w:start w:w="110" w:type="dxa"/>
              <w:bottom w:w="90" w:type="dxa"/>
              <w:end w:w="110" w:type="dxa"/>
            </w:tcMar>
          </w:tcPr>
          <w:p>
            <w:pPr>
              <w:spacing w:after="0" w:line="240" w:lineRule="auto"/>
            </w:pPr>
            <w:r>
              <w:rPr>
                <w:rFonts w:ascii="Arial" w:hAnsi="Arial"/>
                <w:b/>
                <w:sz w:val="18"/>
              </w:rPr>
              <w:t>IBAN</w:t>
            </w:r>
          </w:p>
        </w:tc>
        <w:tc>
          <w:tcPr>
            <w:tcW w:type="dxa" w:w="7848"/>
            <w:vAlign w:val="center"/>
            <w:tcMar>
              <w:top w:w="90" w:type="dxa"/>
              <w:start w:w="110" w:type="dxa"/>
              <w:bottom w:w="90" w:type="dxa"/>
              <w:end w:w="110" w:type="dxa"/>
            </w:tcMar>
          </w:tcPr>
          <w:p>
            <w:pPr>
              <w:spacing w:after="0" w:line="240" w:lineRule="auto"/>
            </w:pPr>
            <w:r>
              <w:rPr>
                <w:rFonts w:ascii="Arial" w:hAnsi="Arial"/>
                <w:sz w:val="18"/>
              </w:rPr>
              <w:t>[TR… · hesap sahibi adı soyadı]</w:t>
            </w:r>
          </w:p>
        </w:tc>
      </w:tr>
      <w:tr>
        <w:tc>
          <w:tcPr>
            <w:tcW w:type="dxa" w:w="2376"/>
            <w:shd w:fill="F3F6F8"/>
            <w:vAlign w:val="center"/>
            <w:tcMar>
              <w:top w:w="90" w:type="dxa"/>
              <w:start w:w="110" w:type="dxa"/>
              <w:bottom w:w="90" w:type="dxa"/>
              <w:end w:w="110" w:type="dxa"/>
            </w:tcMar>
          </w:tcPr>
          <w:p>
            <w:pPr>
              <w:spacing w:after="0" w:line="240" w:lineRule="auto"/>
            </w:pPr>
            <w:r>
              <w:rPr>
                <w:rFonts w:ascii="Arial" w:hAnsi="Arial"/>
                <w:b/>
                <w:sz w:val="18"/>
              </w:rPr>
              <w:t>KONU</w:t>
            </w:r>
          </w:p>
        </w:tc>
        <w:tc>
          <w:tcPr>
            <w:tcW w:type="dxa" w:w="7848"/>
            <w:shd w:fill="F3F6F8"/>
            <w:vAlign w:val="center"/>
            <w:tcMar>
              <w:top w:w="90" w:type="dxa"/>
              <w:start w:w="110" w:type="dxa"/>
              <w:bottom w:w="90" w:type="dxa"/>
              <w:end w:w="110" w:type="dxa"/>
            </w:tcMar>
          </w:tcPr>
          <w:p>
            <w:pPr>
              <w:spacing w:after="0" w:line="240" w:lineRule="auto"/>
            </w:pPr>
            <w:r>
              <w:rPr>
                <w:rFonts w:ascii="Arial" w:hAnsi="Arial"/>
                <w:sz w:val="18"/>
              </w:rPr>
              <w:t>CMK m.72 uyarınca bilirkişi ücretinin; belgeli inceleme, ulaşım, konaklama, yemek ve diğer mutat giderlerin; varsa avans mahsubundan sonra ödenmesi talebidir.</w:t>
            </w:r>
          </w:p>
        </w:tc>
      </w:tr>
    </w:tbl>
    <w:p>
      <w:pPr>
        <w:spacing w:before="140" w:after="60"/>
        <w:keepNext/>
      </w:pPr>
      <w:r>
        <w:rPr>
          <w:rFonts w:ascii="Arial" w:hAnsi="Arial"/>
          <w:b/>
          <w:color w:val="000000"/>
          <w:sz w:val="22"/>
        </w:rPr>
        <w:t>AÇIKLAMALAR</w:t>
      </w:r>
    </w:p>
    <w:p>
      <w:pPr>
        <w:spacing w:after="60" w:line="247" w:lineRule="auto"/>
        <w:jc w:val="both"/>
      </w:pPr>
      <w:r>
        <w:rPr>
          <w:b/>
        </w:rPr>
        <w:t xml:space="preserve">1. </w:t>
      </w:r>
      <w:r>
        <w:rPr>
          <w:rFonts w:ascii="Arial" w:hAnsi="Arial"/>
          <w:sz w:val="20"/>
        </w:rPr>
        <w:t>Yukarıda numarası yazılı dosyada, [tarih] tarihli görevlendirme kararıyla [inceleme konusu] hakkında bilirkişi olarak görevlendirildim. Kararda incelemenin kapsamı, cevaplanması istenen sorular, rapor süresi ve takdir edilen ücret [yazılmıştır / yazılmamıştır].</w:t>
      </w:r>
    </w:p>
    <w:p>
      <w:pPr>
        <w:spacing w:after="60" w:line="247" w:lineRule="auto"/>
        <w:jc w:val="both"/>
      </w:pPr>
      <w:r>
        <w:rPr>
          <w:b/>
        </w:rPr>
        <w:t xml:space="preserve">2. </w:t>
      </w:r>
      <w:r>
        <w:rPr>
          <w:rFonts w:ascii="Arial" w:hAnsi="Arial"/>
          <w:sz w:val="20"/>
        </w:rPr>
        <w:t>Dosya ve eklerini UYAP üzerinden ve teslim tutanağıyla inceledim; [keşif / numune incelemesi / cihaz testi / kayıt çözümlemesi] işlemlerini [tarih aralığı] içinde yaptım. Gerekçeli raporu [tarih] tarihinde elektronik imzayla dosyaya sundum. Rapor teslim kaydı Ek-2’dedir.</w:t>
      </w:r>
    </w:p>
    <w:p>
      <w:pPr>
        <w:spacing w:after="60" w:line="247" w:lineRule="auto"/>
        <w:jc w:val="both"/>
      </w:pPr>
      <w:r>
        <w:rPr>
          <w:b/>
        </w:rPr>
        <w:t xml:space="preserve">3. </w:t>
      </w:r>
      <w:r>
        <w:rPr>
          <w:rFonts w:ascii="Arial" w:hAnsi="Arial"/>
          <w:sz w:val="20"/>
        </w:rPr>
        <w:t>5271 sayılı Ceza Muhakemesi Kanunu’nun 72. maddesi, bilirkişiye inceleme ve seyahat gideri ile çalışmasıyla orantılı ücret ödenmesini emreder. Talep, taraflardan özel bir menfaat sağlanmasına değil, görevlendirmeyi yapan merciden kanuni bilirkişilik alacağının ödenmesine ilişkindir.</w:t>
      </w:r>
    </w:p>
    <w:p>
      <w:pPr>
        <w:spacing w:after="60" w:line="247" w:lineRule="auto"/>
        <w:jc w:val="both"/>
      </w:pPr>
      <w:r>
        <w:rPr>
          <w:b/>
        </w:rPr>
        <w:t xml:space="preserve">4. </w:t>
      </w:r>
      <w:r>
        <w:rPr>
          <w:rFonts w:ascii="Arial" w:hAnsi="Arial"/>
          <w:sz w:val="20"/>
        </w:rPr>
        <w:t>Bilirkişilik Yönetmeliği’nin 57. maddesine göre ücret; yürürlükteki tarife esas alınarak incelemenin nitelik ve önemi ile sarf edilen emek ve zaman gözetilerek görevlendirmeyi yapan merci tarafından belirlenir. Yönetmeliğin 51/1-c maddesi uyarınca takdir edilen ücretin görevlendirme yazısında gösterilmesi gerekir.</w:t>
      </w:r>
    </w:p>
    <w:p>
      <w:pPr>
        <w:spacing w:after="60" w:line="247" w:lineRule="auto"/>
        <w:jc w:val="both"/>
      </w:pPr>
      <w:r>
        <w:rPr>
          <w:b/>
        </w:rPr>
        <w:t xml:space="preserve">5. </w:t>
      </w:r>
      <w:r>
        <w:rPr>
          <w:rFonts w:ascii="Arial" w:hAnsi="Arial"/>
          <w:sz w:val="20"/>
        </w:rPr>
        <w:t>Görevlendirme [tarih] tarihinde yapıldığından, 2026 Yılı Bilirkişilik Asgari Ücret Tarifesi’nin 15. maddesi uyarınca görevlendirme tarihinde yürürlükte bulunan tarife uygulanır. Bu dosya [sulh ceza hâkimliği / asliye ceza mahkemesi / ağır ceza mahkemesi / bölge adliye mahkemesi] işidir ve Tarife m.6’daki karşılığı [2.200 / 2.900 / 3.400 / 3.600] TL’dir.</w:t>
      </w:r>
    </w:p>
    <w:p>
      <w:pPr>
        <w:spacing w:after="60" w:line="247" w:lineRule="auto"/>
        <w:jc w:val="both"/>
      </w:pPr>
      <w:r>
        <w:rPr>
          <w:b/>
        </w:rPr>
        <w:t xml:space="preserve">6. </w:t>
      </w:r>
      <w:r>
        <w:rPr>
          <w:rFonts w:ascii="Arial" w:hAnsi="Arial"/>
          <w:sz w:val="20"/>
        </w:rPr>
        <w:t>Tarife m.8; uzman teminindeki güçlük, dosyanın kapsamı, inceleme için harcanan süre, görev yerine ulaşım süresi ve keşifte geçirilen süre nedeniyle ücretin resen veya talep üzerine artırılmasına izin verir. Somut dosyada [sayfa ve dijital veri miktarı], [inceleme süresi] ve [keşif süresi] kayıtlarla gösterilmiştir.</w:t>
      </w:r>
    </w:p>
    <w:p>
      <w:pPr>
        <w:spacing w:after="60" w:line="247" w:lineRule="auto"/>
        <w:jc w:val="both"/>
      </w:pPr>
      <w:r>
        <w:rPr>
          <w:b/>
        </w:rPr>
        <w:t xml:space="preserve">7. </w:t>
      </w:r>
      <w:r>
        <w:rPr>
          <w:rFonts w:ascii="Arial" w:hAnsi="Arial"/>
          <w:sz w:val="20"/>
        </w:rPr>
        <w:t>İnceleme sırasında zorunlu olarak yaptığım ulaşım, konaklama, yemek ve diğer mutat giderler Tarife m.5 kapsamında belgelidir. Toplam [tutar] TL giderin her kalemi tarih, belge numarası, açıklama ve tutar bakımından Ek-3 çizelgesinde gösterilmiş; fiş ve faturalar sıralı eklenmiştir.</w:t>
      </w:r>
    </w:p>
    <w:p>
      <w:pPr>
        <w:spacing w:after="60" w:line="247" w:lineRule="auto"/>
        <w:jc w:val="both"/>
      </w:pPr>
      <w:r>
        <w:rPr>
          <w:b/>
        </w:rPr>
        <w:t xml:space="preserve">8. </w:t>
      </w:r>
      <w:r>
        <w:rPr>
          <w:rFonts w:ascii="Arial" w:hAnsi="Arial"/>
          <w:sz w:val="20"/>
        </w:rPr>
        <w:t>Tarife m.14 gereğince bilirkişi ücretinden görevli personelce vergi kesintisi yapıldıktan sonra kalan tutar ödenir. Tarife m.5 kapsamındaki belgeli giderler ise m.14/2 uyarınca kesinti yapılmaksızın ayrı bir sarf kararına dayanılarak ödenmelidir.</w:t>
      </w:r>
    </w:p>
    <w:p>
      <w:pPr>
        <w:spacing w:after="60" w:line="247" w:lineRule="auto"/>
        <w:jc w:val="both"/>
      </w:pPr>
      <w:r>
        <w:rPr>
          <w:b/>
        </w:rPr>
        <w:t xml:space="preserve">9. </w:t>
      </w:r>
      <w:r>
        <w:rPr>
          <w:rFonts w:ascii="Arial" w:hAnsi="Arial"/>
          <w:sz w:val="20"/>
        </w:rPr>
        <w:t>Daha önce [tarih] tarihinde [tutar] TL gider avansı ödenmiştir. Bu tutar Tarife m.12 uyarınca belgeli giderlerden mahsup edilmiştir. Mahsuptan sonra ödenmesi gereken gider bakiyesi [tutar] TL’dir. Avans alınmadıysa bu paragraf çıkarılmalıdır.</w:t>
      </w:r>
    </w:p>
    <w:p>
      <w:pPr>
        <w:spacing w:after="60" w:line="247" w:lineRule="auto"/>
        <w:jc w:val="both"/>
      </w:pPr>
      <w:r>
        <w:rPr>
          <w:b/>
        </w:rPr>
        <w:t xml:space="preserve">10. </w:t>
      </w:r>
      <w:r>
        <w:rPr>
          <w:rFonts w:ascii="Arial" w:hAnsi="Arial"/>
          <w:sz w:val="20"/>
        </w:rPr>
        <w:t>Talep edilen ücret, görevlendirme kararında sorulan ve tamamlanan asıl inceleme içindir. Yeni ve ayrı sorular yöneltilmişse Tarife m.11/1 kapsamında ek ücret ayrıca takdir edilebilir; yalnız mevcut rapordaki eksiklik veya belirsizliğin giderilmesi için istenen ek raporda m.11/2-3 gereğince ayrıca ücret doğmaz.</w:t>
      </w:r>
    </w:p>
    <w:p>
      <w:r>
        <w:br w:type="page"/>
      </w:r>
    </w:p>
    <w:p>
      <w:pPr>
        <w:spacing w:before="140" w:after="60"/>
        <w:keepNext/>
      </w:pPr>
      <w:r>
        <w:rPr>
          <w:rFonts w:ascii="Arial" w:hAnsi="Arial"/>
          <w:b/>
          <w:color w:val="000000"/>
          <w:sz w:val="22"/>
        </w:rPr>
        <w:t>2026 TARİFE TUTARLARI VE UYGULANACAK SATIR</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rPr>
          <w:tblHeader w:val="true"/>
        </w:trPr>
        <w:tc>
          <w:tcPr>
            <w:tcW w:type="dxa" w:w="7848"/>
            <w:vAlign w:val="center"/>
            <w:tcMar>
              <w:top w:w="90" w:type="dxa"/>
              <w:start w:w="110" w:type="dxa"/>
              <w:bottom w:w="90" w:type="dxa"/>
              <w:end w:w="110" w:type="dxa"/>
            </w:tcMar>
            <w:shd w:fill="D9EAF7"/>
          </w:tcPr>
          <w:p>
            <w:pPr>
              <w:spacing w:after="0" w:line="240" w:lineRule="auto"/>
            </w:pPr>
            <w:r>
              <w:rPr>
                <w:rFonts w:ascii="Arial" w:hAnsi="Arial"/>
                <w:b/>
                <w:sz w:val="18"/>
              </w:rPr>
              <w:t>Görevlendirmeyi yapan merci</w:t>
            </w:r>
          </w:p>
        </w:tc>
        <w:tc>
          <w:tcPr>
            <w:tcW w:type="dxa" w:w="2304"/>
            <w:vAlign w:val="center"/>
            <w:tcMar>
              <w:top w:w="90" w:type="dxa"/>
              <w:start w:w="110" w:type="dxa"/>
              <w:bottom w:w="90" w:type="dxa"/>
              <w:end w:w="110" w:type="dxa"/>
            </w:tcMar>
            <w:shd w:fill="D9EAF7"/>
          </w:tcPr>
          <w:p>
            <w:pPr>
              <w:spacing w:after="0" w:line="240" w:lineRule="auto"/>
            </w:pPr>
            <w:r>
              <w:rPr>
                <w:rFonts w:ascii="Arial" w:hAnsi="Arial"/>
                <w:b/>
                <w:sz w:val="18"/>
              </w:rPr>
              <w:t>Gerçek kişi asgari ücret</w:t>
            </w:r>
          </w:p>
        </w:tc>
      </w:tr>
      <w:tr>
        <w:tc>
          <w:tcPr>
            <w:tcW w:type="dxa" w:w="7848"/>
            <w:vAlign w:val="center"/>
            <w:tcMar>
              <w:top w:w="90" w:type="dxa"/>
              <w:start w:w="110" w:type="dxa"/>
              <w:bottom w:w="90" w:type="dxa"/>
              <w:end w:w="110" w:type="dxa"/>
            </w:tcMar>
          </w:tcPr>
          <w:p>
            <w:pPr>
              <w:spacing w:after="0" w:line="240" w:lineRule="auto"/>
            </w:pPr>
            <w:r>
              <w:rPr>
                <w:rFonts w:ascii="Arial" w:hAnsi="Arial"/>
                <w:sz w:val="18"/>
              </w:rPr>
              <w:t>İcra ve iflas daireleri / satış memurlukları</w:t>
            </w:r>
          </w:p>
        </w:tc>
        <w:tc>
          <w:tcPr>
            <w:tcW w:type="dxa" w:w="2304"/>
            <w:vAlign w:val="center"/>
            <w:tcMar>
              <w:top w:w="90" w:type="dxa"/>
              <w:start w:w="110" w:type="dxa"/>
              <w:bottom w:w="90" w:type="dxa"/>
              <w:end w:w="110" w:type="dxa"/>
            </w:tcMar>
          </w:tcPr>
          <w:p>
            <w:pPr>
              <w:spacing w:after="0" w:line="240" w:lineRule="auto"/>
            </w:pPr>
            <w:r>
              <w:rPr>
                <w:rFonts w:ascii="Arial" w:hAnsi="Arial"/>
                <w:sz w:val="18"/>
              </w:rPr>
              <w:t>2.200 TL</w:t>
            </w:r>
          </w:p>
        </w:tc>
      </w:tr>
      <w:tr>
        <w:tc>
          <w:tcPr>
            <w:tcW w:type="dxa" w:w="7848"/>
            <w:vAlign w:val="center"/>
            <w:tcMar>
              <w:top w:w="90" w:type="dxa"/>
              <w:start w:w="110" w:type="dxa"/>
              <w:bottom w:w="90" w:type="dxa"/>
              <w:end w:w="110" w:type="dxa"/>
            </w:tcMar>
            <w:shd w:fill="F6F9FC"/>
          </w:tcPr>
          <w:p>
            <w:pPr>
              <w:spacing w:after="0" w:line="240" w:lineRule="auto"/>
            </w:pPr>
            <w:r>
              <w:rPr>
                <w:rFonts w:ascii="Arial" w:hAnsi="Arial"/>
                <w:sz w:val="18"/>
              </w:rPr>
              <w:t>Sulh hukuk ve tüketici mahkemeleri</w:t>
            </w:r>
          </w:p>
        </w:tc>
        <w:tc>
          <w:tcPr>
            <w:tcW w:type="dxa" w:w="2304"/>
            <w:vAlign w:val="center"/>
            <w:tcMar>
              <w:top w:w="90" w:type="dxa"/>
              <w:start w:w="110" w:type="dxa"/>
              <w:bottom w:w="90" w:type="dxa"/>
              <w:end w:w="110" w:type="dxa"/>
            </w:tcMar>
            <w:shd w:fill="F6F9FC"/>
          </w:tcPr>
          <w:p>
            <w:pPr>
              <w:spacing w:after="0" w:line="240" w:lineRule="auto"/>
            </w:pPr>
            <w:r>
              <w:rPr>
                <w:rFonts w:ascii="Arial" w:hAnsi="Arial"/>
                <w:sz w:val="18"/>
              </w:rPr>
              <w:t>2.100 TL</w:t>
            </w:r>
          </w:p>
        </w:tc>
      </w:tr>
      <w:tr>
        <w:tc>
          <w:tcPr>
            <w:tcW w:type="dxa" w:w="7848"/>
            <w:vAlign w:val="center"/>
            <w:tcMar>
              <w:top w:w="90" w:type="dxa"/>
              <w:start w:w="110" w:type="dxa"/>
              <w:bottom w:w="90" w:type="dxa"/>
              <w:end w:w="110" w:type="dxa"/>
            </w:tcMar>
          </w:tcPr>
          <w:p>
            <w:pPr>
              <w:spacing w:after="0" w:line="240" w:lineRule="auto"/>
            </w:pPr>
            <w:r>
              <w:rPr>
                <w:rFonts w:ascii="Arial" w:hAnsi="Arial"/>
                <w:sz w:val="18"/>
              </w:rPr>
              <w:t>Asliye hukuk ve aile mahkemeleri</w:t>
            </w:r>
          </w:p>
        </w:tc>
        <w:tc>
          <w:tcPr>
            <w:tcW w:type="dxa" w:w="2304"/>
            <w:vAlign w:val="center"/>
            <w:tcMar>
              <w:top w:w="90" w:type="dxa"/>
              <w:start w:w="110" w:type="dxa"/>
              <w:bottom w:w="90" w:type="dxa"/>
              <w:end w:w="110" w:type="dxa"/>
            </w:tcMar>
          </w:tcPr>
          <w:p>
            <w:pPr>
              <w:spacing w:after="0" w:line="240" w:lineRule="auto"/>
            </w:pPr>
            <w:r>
              <w:rPr>
                <w:rFonts w:ascii="Arial" w:hAnsi="Arial"/>
                <w:sz w:val="18"/>
              </w:rPr>
              <w:t>3.600 TL</w:t>
            </w:r>
          </w:p>
        </w:tc>
      </w:tr>
      <w:tr>
        <w:tc>
          <w:tcPr>
            <w:tcW w:type="dxa" w:w="7848"/>
            <w:vAlign w:val="center"/>
            <w:tcMar>
              <w:top w:w="90" w:type="dxa"/>
              <w:start w:w="110" w:type="dxa"/>
              <w:bottom w:w="90" w:type="dxa"/>
              <w:end w:w="110" w:type="dxa"/>
            </w:tcMar>
            <w:shd w:fill="F6F9FC"/>
          </w:tcPr>
          <w:p>
            <w:pPr>
              <w:spacing w:after="0" w:line="240" w:lineRule="auto"/>
            </w:pPr>
            <w:r>
              <w:rPr>
                <w:rFonts w:ascii="Arial" w:hAnsi="Arial"/>
                <w:sz w:val="18"/>
              </w:rPr>
              <w:t>Sulh ceza hâkimlikleri ve infaz hâkimlikleri</w:t>
            </w:r>
          </w:p>
        </w:tc>
        <w:tc>
          <w:tcPr>
            <w:tcW w:type="dxa" w:w="2304"/>
            <w:vAlign w:val="center"/>
            <w:tcMar>
              <w:top w:w="90" w:type="dxa"/>
              <w:start w:w="110" w:type="dxa"/>
              <w:bottom w:w="90" w:type="dxa"/>
              <w:end w:w="110" w:type="dxa"/>
            </w:tcMar>
            <w:shd w:fill="F6F9FC"/>
          </w:tcPr>
          <w:p>
            <w:pPr>
              <w:spacing w:after="0" w:line="240" w:lineRule="auto"/>
            </w:pPr>
            <w:r>
              <w:rPr>
                <w:rFonts w:ascii="Arial" w:hAnsi="Arial"/>
                <w:sz w:val="18"/>
              </w:rPr>
              <w:t>2.200 TL</w:t>
            </w:r>
          </w:p>
        </w:tc>
      </w:tr>
      <w:tr>
        <w:tc>
          <w:tcPr>
            <w:tcW w:type="dxa" w:w="7848"/>
            <w:vAlign w:val="center"/>
            <w:tcMar>
              <w:top w:w="90" w:type="dxa"/>
              <w:start w:w="110" w:type="dxa"/>
              <w:bottom w:w="90" w:type="dxa"/>
              <w:end w:w="110" w:type="dxa"/>
            </w:tcMar>
          </w:tcPr>
          <w:p>
            <w:pPr>
              <w:spacing w:after="0" w:line="240" w:lineRule="auto"/>
            </w:pPr>
            <w:r>
              <w:rPr>
                <w:rFonts w:ascii="Arial" w:hAnsi="Arial"/>
                <w:sz w:val="18"/>
              </w:rPr>
              <w:t>Asliye ceza mahkemeleri</w:t>
            </w:r>
          </w:p>
        </w:tc>
        <w:tc>
          <w:tcPr>
            <w:tcW w:type="dxa" w:w="2304"/>
            <w:vAlign w:val="center"/>
            <w:tcMar>
              <w:top w:w="90" w:type="dxa"/>
              <w:start w:w="110" w:type="dxa"/>
              <w:bottom w:w="90" w:type="dxa"/>
              <w:end w:w="110" w:type="dxa"/>
            </w:tcMar>
          </w:tcPr>
          <w:p>
            <w:pPr>
              <w:spacing w:after="0" w:line="240" w:lineRule="auto"/>
            </w:pPr>
            <w:r>
              <w:rPr>
                <w:rFonts w:ascii="Arial" w:hAnsi="Arial"/>
                <w:sz w:val="18"/>
              </w:rPr>
              <w:t>2.900 TL</w:t>
            </w:r>
          </w:p>
        </w:tc>
      </w:tr>
      <w:tr>
        <w:tc>
          <w:tcPr>
            <w:tcW w:type="dxa" w:w="7848"/>
            <w:vAlign w:val="center"/>
            <w:tcMar>
              <w:top w:w="90" w:type="dxa"/>
              <w:start w:w="110" w:type="dxa"/>
              <w:bottom w:w="90" w:type="dxa"/>
              <w:end w:w="110" w:type="dxa"/>
            </w:tcMar>
            <w:shd w:fill="F6F9FC"/>
          </w:tcPr>
          <w:p>
            <w:pPr>
              <w:spacing w:after="0" w:line="240" w:lineRule="auto"/>
            </w:pPr>
            <w:r>
              <w:rPr>
                <w:rFonts w:ascii="Arial" w:hAnsi="Arial"/>
                <w:sz w:val="18"/>
              </w:rPr>
              <w:t>Ağır ceza mahkemeleri</w:t>
            </w:r>
          </w:p>
        </w:tc>
        <w:tc>
          <w:tcPr>
            <w:tcW w:type="dxa" w:w="2304"/>
            <w:vAlign w:val="center"/>
            <w:tcMar>
              <w:top w:w="90" w:type="dxa"/>
              <w:start w:w="110" w:type="dxa"/>
              <w:bottom w:w="90" w:type="dxa"/>
              <w:end w:w="110" w:type="dxa"/>
            </w:tcMar>
            <w:shd w:fill="F6F9FC"/>
          </w:tcPr>
          <w:p>
            <w:pPr>
              <w:spacing w:after="0" w:line="240" w:lineRule="auto"/>
            </w:pPr>
            <w:r>
              <w:rPr>
                <w:rFonts w:ascii="Arial" w:hAnsi="Arial"/>
                <w:sz w:val="18"/>
              </w:rPr>
              <w:t>3.400 TL</w:t>
            </w:r>
          </w:p>
        </w:tc>
      </w:tr>
      <w:tr>
        <w:tc>
          <w:tcPr>
            <w:tcW w:type="dxa" w:w="7848"/>
            <w:vAlign w:val="center"/>
            <w:tcMar>
              <w:top w:w="90" w:type="dxa"/>
              <w:start w:w="110" w:type="dxa"/>
              <w:bottom w:w="90" w:type="dxa"/>
              <w:end w:w="110" w:type="dxa"/>
            </w:tcMar>
          </w:tcPr>
          <w:p>
            <w:pPr>
              <w:spacing w:after="0" w:line="240" w:lineRule="auto"/>
            </w:pPr>
            <w:r>
              <w:rPr>
                <w:rFonts w:ascii="Arial" w:hAnsi="Arial"/>
                <w:sz w:val="18"/>
              </w:rPr>
              <w:t>Asliye ticaret, fikrî ve sınaî haklar, iş mahkemeleri</w:t>
            </w:r>
          </w:p>
        </w:tc>
        <w:tc>
          <w:tcPr>
            <w:tcW w:type="dxa" w:w="2304"/>
            <w:vAlign w:val="center"/>
            <w:tcMar>
              <w:top w:w="90" w:type="dxa"/>
              <w:start w:w="110" w:type="dxa"/>
              <w:bottom w:w="90" w:type="dxa"/>
              <w:end w:w="110" w:type="dxa"/>
            </w:tcMar>
          </w:tcPr>
          <w:p>
            <w:pPr>
              <w:spacing w:after="0" w:line="240" w:lineRule="auto"/>
            </w:pPr>
            <w:r>
              <w:rPr>
                <w:rFonts w:ascii="Arial" w:hAnsi="Arial"/>
                <w:sz w:val="18"/>
              </w:rPr>
              <w:t>3.800 TL</w:t>
            </w:r>
          </w:p>
        </w:tc>
      </w:tr>
      <w:tr>
        <w:tc>
          <w:tcPr>
            <w:tcW w:type="dxa" w:w="7848"/>
            <w:vAlign w:val="center"/>
            <w:tcMar>
              <w:top w:w="90" w:type="dxa"/>
              <w:start w:w="110" w:type="dxa"/>
              <w:bottom w:w="90" w:type="dxa"/>
              <w:end w:w="110" w:type="dxa"/>
            </w:tcMar>
            <w:shd w:fill="F6F9FC"/>
          </w:tcPr>
          <w:p>
            <w:pPr>
              <w:spacing w:after="0" w:line="240" w:lineRule="auto"/>
            </w:pPr>
            <w:r>
              <w:rPr>
                <w:rFonts w:ascii="Arial" w:hAnsi="Arial"/>
                <w:sz w:val="18"/>
              </w:rPr>
              <w:t>İdare ve vergi mahkemeleri</w:t>
            </w:r>
          </w:p>
        </w:tc>
        <w:tc>
          <w:tcPr>
            <w:tcW w:type="dxa" w:w="2304"/>
            <w:vAlign w:val="center"/>
            <w:tcMar>
              <w:top w:w="90" w:type="dxa"/>
              <w:start w:w="110" w:type="dxa"/>
              <w:bottom w:w="90" w:type="dxa"/>
              <w:end w:w="110" w:type="dxa"/>
            </w:tcMar>
            <w:shd w:fill="F6F9FC"/>
          </w:tcPr>
          <w:p>
            <w:pPr>
              <w:spacing w:after="0" w:line="240" w:lineRule="auto"/>
            </w:pPr>
            <w:r>
              <w:rPr>
                <w:rFonts w:ascii="Arial" w:hAnsi="Arial"/>
                <w:sz w:val="18"/>
              </w:rPr>
              <w:t>3.400 TL</w:t>
            </w:r>
          </w:p>
        </w:tc>
      </w:tr>
      <w:tr>
        <w:tc>
          <w:tcPr>
            <w:tcW w:type="dxa" w:w="7848"/>
            <w:vAlign w:val="center"/>
            <w:tcMar>
              <w:top w:w="90" w:type="dxa"/>
              <w:start w:w="110" w:type="dxa"/>
              <w:bottom w:w="90" w:type="dxa"/>
              <w:end w:w="110" w:type="dxa"/>
            </w:tcMar>
          </w:tcPr>
          <w:p>
            <w:pPr>
              <w:spacing w:after="0" w:line="240" w:lineRule="auto"/>
            </w:pPr>
            <w:r>
              <w:rPr>
                <w:rFonts w:ascii="Arial" w:hAnsi="Arial"/>
                <w:sz w:val="18"/>
              </w:rPr>
              <w:t>Bölge adliye ve bölge idare mahkemeleri</w:t>
            </w:r>
          </w:p>
        </w:tc>
        <w:tc>
          <w:tcPr>
            <w:tcW w:type="dxa" w:w="2304"/>
            <w:vAlign w:val="center"/>
            <w:tcMar>
              <w:top w:w="90" w:type="dxa"/>
              <w:start w:w="110" w:type="dxa"/>
              <w:bottom w:w="90" w:type="dxa"/>
              <w:end w:w="110" w:type="dxa"/>
            </w:tcMar>
          </w:tcPr>
          <w:p>
            <w:pPr>
              <w:spacing w:after="0" w:line="240" w:lineRule="auto"/>
            </w:pPr>
            <w:r>
              <w:rPr>
                <w:rFonts w:ascii="Arial" w:hAnsi="Arial"/>
                <w:sz w:val="18"/>
              </w:rPr>
              <w:t>3.600 TL</w:t>
            </w:r>
          </w:p>
        </w:tc>
      </w:tr>
      <w:tr>
        <w:tc>
          <w:tcPr>
            <w:tcW w:type="dxa" w:w="7848"/>
            <w:vAlign w:val="center"/>
            <w:tcMar>
              <w:top w:w="90" w:type="dxa"/>
              <w:start w:w="110" w:type="dxa"/>
              <w:bottom w:w="90" w:type="dxa"/>
              <w:end w:w="110" w:type="dxa"/>
            </w:tcMar>
            <w:shd w:fill="F6F9FC"/>
          </w:tcPr>
          <w:p>
            <w:pPr>
              <w:spacing w:after="0" w:line="240" w:lineRule="auto"/>
            </w:pPr>
            <w:r>
              <w:rPr>
                <w:rFonts w:ascii="Arial" w:hAnsi="Arial"/>
                <w:sz w:val="18"/>
              </w:rPr>
              <w:t>Yargıtay ve Danıştay ilk derece işleri</w:t>
            </w:r>
          </w:p>
        </w:tc>
        <w:tc>
          <w:tcPr>
            <w:tcW w:type="dxa" w:w="2304"/>
            <w:vAlign w:val="center"/>
            <w:tcMar>
              <w:top w:w="90" w:type="dxa"/>
              <w:start w:w="110" w:type="dxa"/>
              <w:bottom w:w="90" w:type="dxa"/>
              <w:end w:w="110" w:type="dxa"/>
            </w:tcMar>
            <w:shd w:fill="F6F9FC"/>
          </w:tcPr>
          <w:p>
            <w:pPr>
              <w:spacing w:after="0" w:line="240" w:lineRule="auto"/>
            </w:pPr>
            <w:r>
              <w:rPr>
                <w:rFonts w:ascii="Arial" w:hAnsi="Arial"/>
                <w:sz w:val="18"/>
              </w:rPr>
              <w:t>4.500 TL</w:t>
            </w:r>
          </w:p>
        </w:tc>
      </w:tr>
    </w:tbl>
    <w:p>
      <w:pPr>
        <w:spacing w:before="140" w:after="60"/>
        <w:keepNext/>
      </w:pPr>
      <w:r>
        <w:rPr>
          <w:rFonts w:ascii="Arial" w:hAnsi="Arial"/>
          <w:b/>
          <w:color w:val="000000"/>
          <w:sz w:val="22"/>
        </w:rPr>
        <w:t>ÜCRET VE GİDER HESAP CETVELİ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3485"/>
        <w:gridCol w:w="3485"/>
        <w:gridCol w:w="3485"/>
      </w:tblGrid>
      <w:tr>
        <w:trPr>
          <w:tblHeader w:val="true"/>
        </w:trPr>
        <w:tc>
          <w:tcPr>
            <w:tcW w:type="dxa" w:w="3312"/>
            <w:vAlign w:val="center"/>
            <w:tcMar>
              <w:top w:w="90" w:type="dxa"/>
              <w:start w:w="110" w:type="dxa"/>
              <w:bottom w:w="90" w:type="dxa"/>
              <w:end w:w="110" w:type="dxa"/>
            </w:tcMar>
            <w:shd w:fill="D9EAF7"/>
          </w:tcPr>
          <w:p>
            <w:pPr>
              <w:spacing w:after="0" w:line="240" w:lineRule="auto"/>
            </w:pPr>
            <w:r>
              <w:rPr>
                <w:rFonts w:ascii="Arial" w:hAnsi="Arial"/>
                <w:b/>
                <w:sz w:val="18"/>
              </w:rPr>
              <w:t>Kalem</w:t>
            </w:r>
          </w:p>
        </w:tc>
        <w:tc>
          <w:tcPr>
            <w:tcW w:type="dxa" w:w="1512"/>
            <w:vAlign w:val="center"/>
            <w:tcMar>
              <w:top w:w="90" w:type="dxa"/>
              <w:start w:w="110" w:type="dxa"/>
              <w:bottom w:w="90" w:type="dxa"/>
              <w:end w:w="110" w:type="dxa"/>
            </w:tcMar>
            <w:shd w:fill="D9EAF7"/>
          </w:tcPr>
          <w:p>
            <w:pPr>
              <w:spacing w:after="0" w:line="240" w:lineRule="auto"/>
            </w:pPr>
            <w:r>
              <w:rPr>
                <w:rFonts w:ascii="Arial" w:hAnsi="Arial"/>
                <w:b/>
                <w:sz w:val="18"/>
              </w:rPr>
              <w:t>Tutar</w:t>
            </w:r>
          </w:p>
        </w:tc>
        <w:tc>
          <w:tcPr>
            <w:tcW w:type="dxa" w:w="5328"/>
            <w:vAlign w:val="center"/>
            <w:tcMar>
              <w:top w:w="90" w:type="dxa"/>
              <w:start w:w="110" w:type="dxa"/>
              <w:bottom w:w="90" w:type="dxa"/>
              <w:end w:w="110" w:type="dxa"/>
            </w:tcMar>
            <w:shd w:fill="D9EAF7"/>
          </w:tcPr>
          <w:p>
            <w:pPr>
              <w:spacing w:after="0" w:line="240" w:lineRule="auto"/>
            </w:pPr>
            <w:r>
              <w:rPr>
                <w:rFonts w:ascii="Arial" w:hAnsi="Arial"/>
                <w:b/>
                <w:sz w:val="18"/>
              </w:rPr>
              <w:t>Dayanak</w:t>
            </w:r>
          </w:p>
        </w:tc>
      </w:tr>
      <w:tr>
        <w:tc>
          <w:tcPr>
            <w:tcW w:type="dxa" w:w="3312"/>
            <w:vAlign w:val="center"/>
            <w:tcMar>
              <w:top w:w="90" w:type="dxa"/>
              <w:start w:w="110" w:type="dxa"/>
              <w:bottom w:w="90" w:type="dxa"/>
              <w:end w:w="110" w:type="dxa"/>
            </w:tcMar>
          </w:tcPr>
          <w:p>
            <w:pPr>
              <w:spacing w:after="0" w:line="240" w:lineRule="auto"/>
            </w:pPr>
            <w:r>
              <w:rPr>
                <w:rFonts w:ascii="Arial" w:hAnsi="Arial"/>
                <w:sz w:val="18"/>
              </w:rPr>
              <w:t>Tarife m.6 asgari ücret</w:t>
            </w:r>
          </w:p>
        </w:tc>
        <w:tc>
          <w:tcPr>
            <w:tcW w:type="dxa" w:w="1512"/>
            <w:vAlign w:val="center"/>
            <w:tcMar>
              <w:top w:w="90" w:type="dxa"/>
              <w:start w:w="110" w:type="dxa"/>
              <w:bottom w:w="90" w:type="dxa"/>
              <w:end w:w="110" w:type="dxa"/>
            </w:tcMar>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tcPr>
          <w:p>
            <w:pPr>
              <w:spacing w:after="0" w:line="240" w:lineRule="auto"/>
            </w:pPr>
            <w:r>
              <w:rPr>
                <w:rFonts w:ascii="Arial" w:hAnsi="Arial"/>
                <w:sz w:val="18"/>
              </w:rPr>
              <w:t>Görevlendirme tarihindeki merci</w:t>
            </w:r>
          </w:p>
        </w:tc>
      </w:tr>
      <w:tr>
        <w:tc>
          <w:tcPr>
            <w:tcW w:type="dxa" w:w="3312"/>
            <w:vAlign w:val="center"/>
            <w:tcMar>
              <w:top w:w="90" w:type="dxa"/>
              <w:start w:w="110" w:type="dxa"/>
              <w:bottom w:w="90" w:type="dxa"/>
              <w:end w:w="110" w:type="dxa"/>
            </w:tcMar>
            <w:shd w:fill="F6F9FC"/>
          </w:tcPr>
          <w:p>
            <w:pPr>
              <w:spacing w:after="0" w:line="240" w:lineRule="auto"/>
            </w:pPr>
            <w:r>
              <w:rPr>
                <w:rFonts w:ascii="Arial" w:hAnsi="Arial"/>
                <w:sz w:val="18"/>
              </w:rPr>
              <w:t>Tarife m.8 artırım talebi</w:t>
            </w:r>
          </w:p>
        </w:tc>
        <w:tc>
          <w:tcPr>
            <w:tcW w:type="dxa" w:w="1512"/>
            <w:vAlign w:val="center"/>
            <w:tcMar>
              <w:top w:w="90" w:type="dxa"/>
              <w:start w:w="110" w:type="dxa"/>
              <w:bottom w:w="90" w:type="dxa"/>
              <w:end w:w="110" w:type="dxa"/>
            </w:tcMar>
            <w:shd w:fill="F6F9FC"/>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shd w:fill="F6F9FC"/>
          </w:tcPr>
          <w:p>
            <w:pPr>
              <w:spacing w:after="0" w:line="240" w:lineRule="auto"/>
            </w:pPr>
            <w:r>
              <w:rPr>
                <w:rFonts w:ascii="Arial" w:hAnsi="Arial"/>
                <w:sz w:val="18"/>
              </w:rPr>
              <w:t>Emek, süre, kapsam ve keşif kaydı</w:t>
            </w:r>
          </w:p>
        </w:tc>
      </w:tr>
      <w:tr>
        <w:tc>
          <w:tcPr>
            <w:tcW w:type="dxa" w:w="3312"/>
            <w:vAlign w:val="center"/>
            <w:tcMar>
              <w:top w:w="90" w:type="dxa"/>
              <w:start w:w="110" w:type="dxa"/>
              <w:bottom w:w="90" w:type="dxa"/>
              <w:end w:w="110" w:type="dxa"/>
            </w:tcMar>
          </w:tcPr>
          <w:p>
            <w:pPr>
              <w:spacing w:after="0" w:line="240" w:lineRule="auto"/>
            </w:pPr>
            <w:r>
              <w:rPr>
                <w:rFonts w:ascii="Arial" w:hAnsi="Arial"/>
                <w:sz w:val="18"/>
              </w:rPr>
              <w:t>İnceleme gideri</w:t>
            </w:r>
          </w:p>
        </w:tc>
        <w:tc>
          <w:tcPr>
            <w:tcW w:type="dxa" w:w="1512"/>
            <w:vAlign w:val="center"/>
            <w:tcMar>
              <w:top w:w="90" w:type="dxa"/>
              <w:start w:w="110" w:type="dxa"/>
              <w:bottom w:w="90" w:type="dxa"/>
              <w:end w:w="110" w:type="dxa"/>
            </w:tcMar>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tcPr>
          <w:p>
            <w:pPr>
              <w:spacing w:after="0" w:line="240" w:lineRule="auto"/>
            </w:pPr>
            <w:r>
              <w:rPr>
                <w:rFonts w:ascii="Arial" w:hAnsi="Arial"/>
                <w:sz w:val="18"/>
              </w:rPr>
              <w:t>Belge no ve açıklama</w:t>
            </w:r>
          </w:p>
        </w:tc>
      </w:tr>
      <w:tr>
        <w:tc>
          <w:tcPr>
            <w:tcW w:type="dxa" w:w="3312"/>
            <w:vAlign w:val="center"/>
            <w:tcMar>
              <w:top w:w="90" w:type="dxa"/>
              <w:start w:w="110" w:type="dxa"/>
              <w:bottom w:w="90" w:type="dxa"/>
              <w:end w:w="110" w:type="dxa"/>
            </w:tcMar>
            <w:shd w:fill="F6F9FC"/>
          </w:tcPr>
          <w:p>
            <w:pPr>
              <w:spacing w:after="0" w:line="240" w:lineRule="auto"/>
            </w:pPr>
            <w:r>
              <w:rPr>
                <w:rFonts w:ascii="Arial" w:hAnsi="Arial"/>
                <w:sz w:val="18"/>
              </w:rPr>
              <w:t>Ulaşım gideri</w:t>
            </w:r>
          </w:p>
        </w:tc>
        <w:tc>
          <w:tcPr>
            <w:tcW w:type="dxa" w:w="1512"/>
            <w:vAlign w:val="center"/>
            <w:tcMar>
              <w:top w:w="90" w:type="dxa"/>
              <w:start w:w="110" w:type="dxa"/>
              <w:bottom w:w="90" w:type="dxa"/>
              <w:end w:w="110" w:type="dxa"/>
            </w:tcMar>
            <w:shd w:fill="F6F9FC"/>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shd w:fill="F6F9FC"/>
          </w:tcPr>
          <w:p>
            <w:pPr>
              <w:spacing w:after="0" w:line="240" w:lineRule="auto"/>
            </w:pPr>
            <w:r>
              <w:rPr>
                <w:rFonts w:ascii="Arial" w:hAnsi="Arial"/>
                <w:sz w:val="18"/>
              </w:rPr>
              <w:t>Bilet / fatura</w:t>
            </w:r>
          </w:p>
        </w:tc>
      </w:tr>
      <w:tr>
        <w:tc>
          <w:tcPr>
            <w:tcW w:type="dxa" w:w="3312"/>
            <w:vAlign w:val="center"/>
            <w:tcMar>
              <w:top w:w="90" w:type="dxa"/>
              <w:start w:w="110" w:type="dxa"/>
              <w:bottom w:w="90" w:type="dxa"/>
              <w:end w:w="110" w:type="dxa"/>
            </w:tcMar>
          </w:tcPr>
          <w:p>
            <w:pPr>
              <w:spacing w:after="0" w:line="240" w:lineRule="auto"/>
            </w:pPr>
            <w:r>
              <w:rPr>
                <w:rFonts w:ascii="Arial" w:hAnsi="Arial"/>
                <w:sz w:val="18"/>
              </w:rPr>
              <w:t>Konaklama ve yemek</w:t>
            </w:r>
          </w:p>
        </w:tc>
        <w:tc>
          <w:tcPr>
            <w:tcW w:type="dxa" w:w="1512"/>
            <w:vAlign w:val="center"/>
            <w:tcMar>
              <w:top w:w="90" w:type="dxa"/>
              <w:start w:w="110" w:type="dxa"/>
              <w:bottom w:w="90" w:type="dxa"/>
              <w:end w:w="110" w:type="dxa"/>
            </w:tcMar>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tcPr>
          <w:p>
            <w:pPr>
              <w:spacing w:after="0" w:line="240" w:lineRule="auto"/>
            </w:pPr>
            <w:r>
              <w:rPr>
                <w:rFonts w:ascii="Arial" w:hAnsi="Arial"/>
                <w:sz w:val="18"/>
              </w:rPr>
              <w:t>Fatura / fiş</w:t>
            </w:r>
          </w:p>
        </w:tc>
      </w:tr>
      <w:tr>
        <w:tc>
          <w:tcPr>
            <w:tcW w:type="dxa" w:w="3312"/>
            <w:vAlign w:val="center"/>
            <w:tcMar>
              <w:top w:w="90" w:type="dxa"/>
              <w:start w:w="110" w:type="dxa"/>
              <w:bottom w:w="90" w:type="dxa"/>
              <w:end w:w="110" w:type="dxa"/>
            </w:tcMar>
            <w:shd w:fill="F6F9FC"/>
          </w:tcPr>
          <w:p>
            <w:pPr>
              <w:spacing w:after="0" w:line="240" w:lineRule="auto"/>
            </w:pPr>
            <w:r>
              <w:rPr>
                <w:rFonts w:ascii="Arial" w:hAnsi="Arial"/>
                <w:sz w:val="18"/>
              </w:rPr>
              <w:t>Diğer mutat gider</w:t>
            </w:r>
          </w:p>
        </w:tc>
        <w:tc>
          <w:tcPr>
            <w:tcW w:type="dxa" w:w="1512"/>
            <w:vAlign w:val="center"/>
            <w:tcMar>
              <w:top w:w="90" w:type="dxa"/>
              <w:start w:w="110" w:type="dxa"/>
              <w:bottom w:w="90" w:type="dxa"/>
              <w:end w:w="110" w:type="dxa"/>
            </w:tcMar>
            <w:shd w:fill="F6F9FC"/>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shd w:fill="F6F9FC"/>
          </w:tcPr>
          <w:p>
            <w:pPr>
              <w:spacing w:after="0" w:line="240" w:lineRule="auto"/>
            </w:pPr>
            <w:r>
              <w:rPr>
                <w:rFonts w:ascii="Arial" w:hAnsi="Arial"/>
                <w:sz w:val="18"/>
              </w:rPr>
              <w:t>Belge ve görev bağlantısı</w:t>
            </w:r>
          </w:p>
        </w:tc>
      </w:tr>
      <w:tr>
        <w:tc>
          <w:tcPr>
            <w:tcW w:type="dxa" w:w="3312"/>
            <w:vAlign w:val="center"/>
            <w:tcMar>
              <w:top w:w="90" w:type="dxa"/>
              <w:start w:w="110" w:type="dxa"/>
              <w:bottom w:w="90" w:type="dxa"/>
              <w:end w:w="110" w:type="dxa"/>
            </w:tcMar>
          </w:tcPr>
          <w:p>
            <w:pPr>
              <w:spacing w:after="0" w:line="240" w:lineRule="auto"/>
            </w:pPr>
            <w:r>
              <w:rPr>
                <w:rFonts w:ascii="Arial" w:hAnsi="Arial"/>
                <w:sz w:val="18"/>
              </w:rPr>
              <w:t>Mahsup edilecek avans</w:t>
            </w:r>
          </w:p>
        </w:tc>
        <w:tc>
          <w:tcPr>
            <w:tcW w:type="dxa" w:w="1512"/>
            <w:vAlign w:val="center"/>
            <w:tcMar>
              <w:top w:w="90" w:type="dxa"/>
              <w:start w:w="110" w:type="dxa"/>
              <w:bottom w:w="90" w:type="dxa"/>
              <w:end w:w="110" w:type="dxa"/>
            </w:tcMar>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tcPr>
          <w:p>
            <w:pPr>
              <w:spacing w:after="0" w:line="240" w:lineRule="auto"/>
            </w:pPr>
            <w:r>
              <w:rPr>
                <w:rFonts w:ascii="Arial" w:hAnsi="Arial"/>
                <w:sz w:val="18"/>
              </w:rPr>
              <w:t>Ödeme tarihi ve dekont</w:t>
            </w:r>
          </w:p>
        </w:tc>
      </w:tr>
      <w:tr>
        <w:tc>
          <w:tcPr>
            <w:tcW w:type="dxa" w:w="3312"/>
            <w:vAlign w:val="center"/>
            <w:tcMar>
              <w:top w:w="90" w:type="dxa"/>
              <w:start w:w="110" w:type="dxa"/>
              <w:bottom w:w="90" w:type="dxa"/>
              <w:end w:w="110" w:type="dxa"/>
            </w:tcMar>
            <w:shd w:fill="F6F9FC"/>
          </w:tcPr>
          <w:p>
            <w:pPr>
              <w:spacing w:after="0" w:line="240" w:lineRule="auto"/>
            </w:pPr>
            <w:r>
              <w:rPr>
                <w:rFonts w:ascii="Arial" w:hAnsi="Arial"/>
                <w:sz w:val="18"/>
              </w:rPr>
              <w:t>Gider bakiyesi</w:t>
            </w:r>
          </w:p>
        </w:tc>
        <w:tc>
          <w:tcPr>
            <w:tcW w:type="dxa" w:w="1512"/>
            <w:vAlign w:val="center"/>
            <w:tcMar>
              <w:top w:w="90" w:type="dxa"/>
              <w:start w:w="110" w:type="dxa"/>
              <w:bottom w:w="90" w:type="dxa"/>
              <w:end w:w="110" w:type="dxa"/>
            </w:tcMar>
            <w:shd w:fill="F6F9FC"/>
          </w:tcPr>
          <w:p>
            <w:pPr>
              <w:spacing w:after="0" w:line="240" w:lineRule="auto"/>
            </w:pPr>
            <w:r>
              <w:rPr>
                <w:rFonts w:ascii="Arial" w:hAnsi="Arial"/>
                <w:sz w:val="18"/>
              </w:rPr>
              <w:t>[TL]</w:t>
            </w:r>
          </w:p>
        </w:tc>
        <w:tc>
          <w:tcPr>
            <w:tcW w:type="dxa" w:w="5328"/>
            <w:vAlign w:val="center"/>
            <w:tcMar>
              <w:top w:w="90" w:type="dxa"/>
              <w:start w:w="110" w:type="dxa"/>
              <w:bottom w:w="90" w:type="dxa"/>
              <w:end w:w="110" w:type="dxa"/>
            </w:tcMar>
            <w:shd w:fill="F6F9FC"/>
          </w:tcPr>
          <w:p>
            <w:pPr>
              <w:spacing w:after="0" w:line="240" w:lineRule="auto"/>
            </w:pPr>
            <w:r>
              <w:rPr>
                <w:rFonts w:ascii="Arial" w:hAnsi="Arial"/>
                <w:sz w:val="18"/>
              </w:rPr>
              <w:t>Giderler eksi avans</w:t>
            </w:r>
          </w:p>
        </w:tc>
      </w:tr>
    </w:tbl>
    <w:p>
      <w:pPr>
        <w:spacing w:before="140" w:after="60"/>
        <w:keepNext/>
      </w:pPr>
      <w:r>
        <w:rPr>
          <w:rFonts w:ascii="Arial" w:hAnsi="Arial"/>
          <w:b/>
          <w:color w:val="000000"/>
          <w:sz w:val="22"/>
        </w:rPr>
        <w:t>HUKUKİ NEDENLER</w:t>
      </w:r>
    </w:p>
    <w:p>
      <w:pPr>
        <w:spacing w:after="60" w:line="247" w:lineRule="auto"/>
        <w:jc w:val="both"/>
      </w:pPr>
      <w:r>
        <w:rPr>
          <w:rFonts w:ascii="Arial" w:hAnsi="Arial"/>
          <w:sz w:val="20"/>
        </w:rPr>
        <w:t>5271 sayılı Ceza Muhakemesi Kanunu m.63, 66, 67 ve 72; Bilirkişilik Yönetmeliği m.51, 52, 55 ve 57; 2026 Yılı Bilirkişilik Asgari Ücret Tarifesi m.4-15 ve ilgili mevzuat.</w:t>
      </w:r>
    </w:p>
    <w:p>
      <w:pPr>
        <w:spacing w:before="140" w:after="60"/>
        <w:keepNext/>
      </w:pPr>
      <w:r>
        <w:rPr>
          <w:rFonts w:ascii="Arial" w:hAnsi="Arial"/>
          <w:b/>
          <w:color w:val="000000"/>
          <w:sz w:val="22"/>
        </w:rPr>
        <w:t>DELİLLER</w:t>
      </w:r>
    </w:p>
    <w:p>
      <w:pPr>
        <w:spacing w:after="60" w:line="247" w:lineRule="auto"/>
        <w:jc w:val="both"/>
      </w:pPr>
      <w:r>
        <w:rPr>
          <w:rFonts w:ascii="Arial" w:hAnsi="Arial"/>
          <w:sz w:val="20"/>
        </w:rPr>
        <w:t>Görevlendirme kararı; rapor teslim kaydı; bilirkişi raporu; UYAP evrak ve işlem kayıtları; inceleme, seyahat, konaklama, yemek ve diğer mutat gider belgeleri; gider çizelgesi; avans ödeme kaydı varsa dekont; banka hesap bilgisi ve dosyadaki diğer kayıtlar.</w:t>
      </w:r>
    </w:p>
    <w:p>
      <w:r>
        <w:br w:type="page"/>
      </w:r>
    </w:p>
    <w:p>
      <w:pPr>
        <w:spacing w:before="140" w:after="60"/>
        <w:keepNext/>
      </w:pPr>
      <w:r>
        <w:rPr>
          <w:rFonts w:ascii="Arial" w:hAnsi="Arial"/>
          <w:b/>
          <w:color w:val="000000"/>
          <w:sz w:val="22"/>
        </w:rPr>
        <w:t>SONUÇ VE İSTEM</w:t>
      </w:r>
    </w:p>
    <w:p>
      <w:pPr>
        <w:spacing w:after="60" w:line="247" w:lineRule="auto"/>
        <w:jc w:val="both"/>
      </w:pPr>
      <w:r>
        <w:rPr>
          <w:b/>
        </w:rPr>
        <w:t xml:space="preserve">1. </w:t>
      </w:r>
      <w:r>
        <w:rPr>
          <w:rFonts w:ascii="Arial" w:hAnsi="Arial"/>
          <w:sz w:val="20"/>
        </w:rPr>
        <w:t>Görevlendirme tarihindeki 2026 Yılı Bilirkişilik Asgari Ücret Tarifesi esas alınarak, görev yapılan merciye karşılık gelen [tutar] TL asgari bilirkişi ücretinin takdirine,</w:t>
      </w:r>
    </w:p>
    <w:p>
      <w:pPr>
        <w:spacing w:after="60" w:line="247" w:lineRule="auto"/>
        <w:jc w:val="both"/>
      </w:pPr>
      <w:r>
        <w:rPr>
          <w:b/>
        </w:rPr>
        <w:t xml:space="preserve">2. </w:t>
      </w:r>
      <w:r>
        <w:rPr>
          <w:rFonts w:ascii="Arial" w:hAnsi="Arial"/>
          <w:sz w:val="20"/>
        </w:rPr>
        <w:t>Dosya kapsamı, inceleme ve keşif süresi ile sarf edilen emek somut kayıtlarla doğrulandığından Tarife m.8 kapsamında [tutar] TL artırım yapılmasına,</w:t>
      </w:r>
    </w:p>
    <w:p>
      <w:pPr>
        <w:spacing w:after="60" w:line="247" w:lineRule="auto"/>
        <w:jc w:val="both"/>
      </w:pPr>
      <w:r>
        <w:rPr>
          <w:b/>
        </w:rPr>
        <w:t xml:space="preserve">3. </w:t>
      </w:r>
      <w:r>
        <w:rPr>
          <w:rFonts w:ascii="Arial" w:hAnsi="Arial"/>
          <w:sz w:val="20"/>
        </w:rPr>
        <w:t>Ekli belgelerle doğrulanan toplam [tutar] TL inceleme, ulaşım, konaklama, yemek ve diğer mutat giderin kabulüne; [tutar] TL avans mahsup edilerek [tutar] TL gider bakiyesinin belirlenmesine,</w:t>
      </w:r>
    </w:p>
    <w:p>
      <w:pPr>
        <w:spacing w:after="60" w:line="247" w:lineRule="auto"/>
        <w:jc w:val="both"/>
      </w:pPr>
      <w:r>
        <w:rPr>
          <w:b/>
        </w:rPr>
        <w:t xml:space="preserve">4. </w:t>
      </w:r>
      <w:r>
        <w:rPr>
          <w:rFonts w:ascii="Arial" w:hAnsi="Arial"/>
          <w:sz w:val="20"/>
        </w:rPr>
        <w:t>Tarife m.14 uyarınca bilirkişi ücretinde kanuni vergi kesintisi yapıldıktan sonra kalan tutarın; belgeli giderlerin ise kesinti yapılmaksızın ayrı sarf kararıyla [IBAN] numaralı hesaba ödenmesine,</w:t>
      </w:r>
    </w:p>
    <w:p>
      <w:pPr>
        <w:spacing w:after="60" w:line="247" w:lineRule="auto"/>
        <w:jc w:val="both"/>
      </w:pPr>
      <w:r>
        <w:rPr>
          <w:b/>
        </w:rPr>
        <w:t xml:space="preserve">5. </w:t>
      </w:r>
      <w:r>
        <w:rPr>
          <w:rFonts w:ascii="Arial" w:hAnsi="Arial"/>
          <w:sz w:val="20"/>
        </w:rPr>
        <w:t>Verilecek kararın ve ödeme işlem bilgisinin UYAP Bilirkişi Portalı üzerinden tarafıma bildirilmesine karar verilmesini saygıyla arz ederim.</w:t>
      </w:r>
    </w:p>
    <w:p>
      <w:pPr>
        <w:spacing w:before="120"/>
        <w:jc w:val="right"/>
      </w:pPr>
      <w:r>
        <w:rPr>
          <w:rFonts w:ascii="Arial" w:hAnsi="Arial"/>
          <w:b/>
          <w:sz w:val="21"/>
        </w:rPr>
        <w:t>[Tarih]</w:t>
        <w:br/>
        <w:t>Bilirkişi</w:t>
        <w:br/>
        <w:t>[Ad Soyad]</w:t>
        <w:br/>
        <w:t>Sicil No: […]</w:t>
        <w:br/>
        <w:t>(E-İMZALIDIR)</w:t>
      </w:r>
    </w:p>
    <w:p>
      <w:pPr>
        <w:spacing w:before="140" w:after="60"/>
        <w:keepNext/>
      </w:pPr>
      <w:r>
        <w:rPr>
          <w:rFonts w:ascii="Arial" w:hAnsi="Arial"/>
          <w:b/>
          <w:color w:val="000000"/>
          <w:sz w:val="22"/>
        </w:rPr>
        <w:t>EKLER</w:t>
      </w:r>
    </w:p>
    <w:p>
      <w:pPr>
        <w:pStyle w:val="ListBullet"/>
        <w:spacing w:after="30"/>
        <w:ind w:left="288" w:hanging="187"/>
      </w:pPr>
      <w:r>
        <w:rPr>
          <w:rFonts w:ascii="Arial" w:hAnsi="Arial"/>
          <w:sz w:val="20"/>
        </w:rPr>
        <w:t>Ek-1 Görevlendirme kararı</w:t>
      </w:r>
    </w:p>
    <w:p>
      <w:pPr>
        <w:pStyle w:val="ListBullet"/>
        <w:spacing w:after="30"/>
        <w:ind w:left="288" w:hanging="187"/>
      </w:pPr>
      <w:r>
        <w:rPr>
          <w:rFonts w:ascii="Arial" w:hAnsi="Arial"/>
          <w:sz w:val="20"/>
        </w:rPr>
        <w:t>Ek-2 Rapor ve UYAP teslim kaydı</w:t>
      </w:r>
    </w:p>
    <w:p>
      <w:pPr>
        <w:pStyle w:val="ListBullet"/>
        <w:spacing w:after="30"/>
        <w:ind w:left="288" w:hanging="187"/>
      </w:pPr>
      <w:r>
        <w:rPr>
          <w:rFonts w:ascii="Arial" w:hAnsi="Arial"/>
          <w:sz w:val="20"/>
        </w:rPr>
        <w:t>Ek-3 Gider çizelgesi ile sıralı fiş ve faturalar</w:t>
      </w:r>
    </w:p>
    <w:p>
      <w:pPr>
        <w:pStyle w:val="ListBullet"/>
        <w:spacing w:after="30"/>
        <w:ind w:left="288" w:hanging="187"/>
      </w:pPr>
      <w:r>
        <w:rPr>
          <w:rFonts w:ascii="Arial" w:hAnsi="Arial"/>
          <w:sz w:val="20"/>
        </w:rPr>
        <w:t>Ek-4 Varsa keşif, ulaşım ve konaklama kayıtları</w:t>
      </w:r>
    </w:p>
    <w:p>
      <w:pPr>
        <w:pStyle w:val="ListBullet"/>
        <w:spacing w:after="30"/>
        <w:ind w:left="288" w:hanging="187"/>
      </w:pPr>
      <w:r>
        <w:rPr>
          <w:rFonts w:ascii="Arial" w:hAnsi="Arial"/>
          <w:sz w:val="20"/>
        </w:rPr>
        <w:t>Ek-5 Varsa avans dekontu ve mahsup hesabı</w:t>
      </w:r>
    </w:p>
    <w:p>
      <w:pPr>
        <w:pStyle w:val="ListBullet"/>
        <w:spacing w:after="30"/>
        <w:ind w:left="288" w:hanging="187"/>
      </w:pPr>
      <w:r>
        <w:rPr>
          <w:rFonts w:ascii="Arial" w:hAnsi="Arial"/>
          <w:sz w:val="20"/>
        </w:rPr>
        <w:t>Ek-6 IBAN ve hesap sahibi bilgisi</w:t>
      </w:r>
    </w:p>
    <w:p>
      <w:pPr>
        <w:spacing w:before="140" w:after="60"/>
        <w:keepNext/>
      </w:pPr>
      <w:r>
        <w:rPr>
          <w:rFonts w:ascii="Arial" w:hAnsi="Arial"/>
          <w:b/>
          <w:color w:val="000000"/>
          <w:sz w:val="22"/>
        </w:rPr>
        <w:t>DOLDURMA KONTROLÜ</w:t>
      </w:r>
    </w:p>
    <w:p>
      <w:pPr>
        <w:spacing w:after="60" w:line="247" w:lineRule="auto"/>
        <w:jc w:val="both"/>
      </w:pPr>
      <w:r>
        <w:rPr>
          <w:rFonts w:ascii="Arial" w:hAnsi="Arial"/>
          <w:sz w:val="20"/>
        </w:rPr>
        <w:t>Köşeli alanları yalnız gerçek dosya kayıtlarıyla doldurun. Görevlendirme tarihindeki tarifeyi seçin. Ücret ile gideri ayrı hesaplayın; giderleri belge numarasıyla eşleştirin. Avans varsa mahsup edin. Ek raporun yeni sorudan mı yoksa eksiklik gidermeden mi kaynaklandığını ayırın. Kullanılmayan seçenekleri ve bu kontrol bölümünü mahkemeye sunulan son nüshadan çıkarın.</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Bilirkişi Ücret ve Gider Ödeme Talebi</dc:title>
  <dc:subject>CMK 72 ve 2026 Yılı Bilirkişilik Asgari Ücret Tarifesi uyarınca düzenlenebilir dilekçe</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