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Bilirkişinin Duruşmada Dinlenmesi Talep Dilekçesi</w:t>
      </w:r>
    </w:p>
    <w:p>
      <w:pPr>
        <w:jc w:val="center"/>
      </w:pPr>
      <w:r>
        <w:rPr>
          <w:b/>
          <w:sz w:val="20"/>
        </w:rPr>
        <w:t>5271 sayılı Ceza Muhakemesi Kanunu m. 68/1 ve 68/2</w:t>
      </w:r>
    </w:p>
    <w:p>
      <w:pPr>
        <w:jc w:val="center"/>
      </w:pPr>
      <w:r>
        <w:rPr>
          <w:b/>
        </w:rPr>
        <w:t>[... CEZA MAHKEMESİNE]</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026"/>
        <w:gridCol w:w="5026"/>
      </w:tblGrid>
      <w:tr>
        <w:tc>
          <w:tcPr>
            <w:tcW w:type="dxa" w:w="2232"/>
            <w:vAlign w:val="center"/>
            <w:tcMar>
              <w:top w:w="65" w:type="dxa"/>
              <w:left w:w="65" w:type="dxa"/>
              <w:bottom w:w="65" w:type="dxa"/>
              <w:right w:w="65" w:type="dxa"/>
            </w:tcMar>
          </w:tcPr>
          <w:p>
            <w:r>
              <w:rPr>
                <w:b/>
              </w:rPr>
              <w:t>ESAS NO</w:t>
            </w:r>
          </w:p>
        </w:tc>
        <w:tc>
          <w:tcPr>
            <w:tcW w:type="dxa" w:w="7704"/>
            <w:vAlign w:val="center"/>
            <w:tcMar>
              <w:top w:w="65" w:type="dxa"/>
              <w:left w:w="65" w:type="dxa"/>
              <w:bottom w:w="65" w:type="dxa"/>
              <w:right w:w="65" w:type="dxa"/>
            </w:tcMar>
          </w:tcPr>
          <w:p>
            <w:r>
              <w:t>[Mahkeme esas numarası]</w:t>
            </w:r>
          </w:p>
        </w:tc>
      </w:tr>
      <w:tr>
        <w:tc>
          <w:tcPr>
            <w:tcW w:type="dxa" w:w="2232"/>
            <w:vAlign w:val="center"/>
            <w:tcMar>
              <w:top w:w="65" w:type="dxa"/>
              <w:left w:w="65" w:type="dxa"/>
              <w:bottom w:w="65" w:type="dxa"/>
              <w:right w:w="65" w:type="dxa"/>
            </w:tcMar>
          </w:tcPr>
          <w:p>
            <w:r>
              <w:rPr>
                <w:b/>
              </w:rPr>
              <w:t>SANIK</w:t>
            </w:r>
          </w:p>
        </w:tc>
        <w:tc>
          <w:tcPr>
            <w:tcW w:type="dxa" w:w="7704"/>
            <w:vAlign w:val="center"/>
            <w:tcMar>
              <w:top w:w="65" w:type="dxa"/>
              <w:left w:w="65" w:type="dxa"/>
              <w:bottom w:w="65" w:type="dxa"/>
              <w:right w:w="65" w:type="dxa"/>
            </w:tcMar>
          </w:tcPr>
          <w:p>
            <w:r>
              <w:t>[Ad soyad]</w:t>
            </w:r>
          </w:p>
        </w:tc>
      </w:tr>
      <w:tr>
        <w:tc>
          <w:tcPr>
            <w:tcW w:type="dxa" w:w="2232"/>
            <w:vAlign w:val="center"/>
            <w:tcMar>
              <w:top w:w="65" w:type="dxa"/>
              <w:left w:w="65" w:type="dxa"/>
              <w:bottom w:w="65" w:type="dxa"/>
              <w:right w:w="65" w:type="dxa"/>
            </w:tcMar>
          </w:tcPr>
          <w:p>
            <w:r>
              <w:rPr>
                <w:b/>
              </w:rPr>
              <w:t>MÜDAFİ</w:t>
            </w:r>
          </w:p>
        </w:tc>
        <w:tc>
          <w:tcPr>
            <w:tcW w:type="dxa" w:w="7704"/>
            <w:vAlign w:val="center"/>
            <w:tcMar>
              <w:top w:w="65" w:type="dxa"/>
              <w:left w:w="65" w:type="dxa"/>
              <w:bottom w:w="65" w:type="dxa"/>
              <w:right w:w="65" w:type="dxa"/>
            </w:tcMar>
          </w:tcPr>
          <w:p>
            <w:r>
              <w:t>[Ad soyad · baro ve sicil · adres]</w:t>
            </w:r>
          </w:p>
        </w:tc>
      </w:tr>
      <w:tr>
        <w:tc>
          <w:tcPr>
            <w:tcW w:type="dxa" w:w="2232"/>
            <w:vAlign w:val="center"/>
            <w:tcMar>
              <w:top w:w="65" w:type="dxa"/>
              <w:left w:w="65" w:type="dxa"/>
              <w:bottom w:w="65" w:type="dxa"/>
              <w:right w:w="65" w:type="dxa"/>
            </w:tcMar>
          </w:tcPr>
          <w:p>
            <w:r>
              <w:rPr>
                <w:b/>
              </w:rPr>
              <w:t>KATILAN / VEKİL</w:t>
            </w:r>
          </w:p>
        </w:tc>
        <w:tc>
          <w:tcPr>
            <w:tcW w:type="dxa" w:w="7704"/>
            <w:vAlign w:val="center"/>
            <w:tcMar>
              <w:top w:w="65" w:type="dxa"/>
              <w:left w:w="65" w:type="dxa"/>
              <w:bottom w:w="65" w:type="dxa"/>
              <w:right w:w="65" w:type="dxa"/>
            </w:tcMar>
          </w:tcPr>
          <w:p>
            <w:r>
              <w:t>[Varsa ad soyad ve vekil bilgisi]</w:t>
            </w:r>
          </w:p>
        </w:tc>
      </w:tr>
      <w:tr>
        <w:tc>
          <w:tcPr>
            <w:tcW w:type="dxa" w:w="2232"/>
            <w:vAlign w:val="center"/>
            <w:tcMar>
              <w:top w:w="65" w:type="dxa"/>
              <w:left w:w="65" w:type="dxa"/>
              <w:bottom w:w="65" w:type="dxa"/>
              <w:right w:w="65" w:type="dxa"/>
            </w:tcMar>
          </w:tcPr>
          <w:p>
            <w:r>
              <w:rPr>
                <w:b/>
              </w:rPr>
              <w:t>BİLİRKİŞİ</w:t>
            </w:r>
          </w:p>
        </w:tc>
        <w:tc>
          <w:tcPr>
            <w:tcW w:type="dxa" w:w="7704"/>
            <w:vAlign w:val="center"/>
            <w:tcMar>
              <w:top w:w="65" w:type="dxa"/>
              <w:left w:w="65" w:type="dxa"/>
              <w:bottom w:w="65" w:type="dxa"/>
              <w:right w:w="65" w:type="dxa"/>
            </w:tcMar>
          </w:tcPr>
          <w:p>
            <w:r>
              <w:t>[Ad soyad · sicil · uzmanlık alanı]</w:t>
            </w:r>
          </w:p>
        </w:tc>
      </w:tr>
      <w:tr>
        <w:tc>
          <w:tcPr>
            <w:tcW w:type="dxa" w:w="2232"/>
            <w:vAlign w:val="center"/>
            <w:tcMar>
              <w:top w:w="65" w:type="dxa"/>
              <w:left w:w="65" w:type="dxa"/>
              <w:bottom w:w="65" w:type="dxa"/>
              <w:right w:w="65" w:type="dxa"/>
            </w:tcMar>
          </w:tcPr>
          <w:p>
            <w:r>
              <w:rPr>
                <w:b/>
              </w:rPr>
              <w:t>RAPOR</w:t>
            </w:r>
          </w:p>
        </w:tc>
        <w:tc>
          <w:tcPr>
            <w:tcW w:type="dxa" w:w="7704"/>
            <w:vAlign w:val="center"/>
            <w:tcMar>
              <w:top w:w="65" w:type="dxa"/>
              <w:left w:w="65" w:type="dxa"/>
              <w:bottom w:w="65" w:type="dxa"/>
              <w:right w:w="65" w:type="dxa"/>
            </w:tcMar>
          </w:tcPr>
          <w:p>
            <w:r>
              <w:t>[Tarih · evrak numarası · kök/ek rapor]</w:t>
            </w:r>
          </w:p>
        </w:tc>
      </w:tr>
      <w:tr>
        <w:tc>
          <w:tcPr>
            <w:tcW w:type="dxa" w:w="2232"/>
            <w:vAlign w:val="center"/>
            <w:tcMar>
              <w:top w:w="65" w:type="dxa"/>
              <w:left w:w="65" w:type="dxa"/>
              <w:bottom w:w="65" w:type="dxa"/>
              <w:right w:w="65" w:type="dxa"/>
            </w:tcMar>
          </w:tcPr>
          <w:p>
            <w:r>
              <w:rPr>
                <w:b/>
              </w:rPr>
              <w:t>KONU</w:t>
            </w:r>
          </w:p>
        </w:tc>
        <w:tc>
          <w:tcPr>
            <w:tcW w:type="dxa" w:w="7704"/>
            <w:vAlign w:val="center"/>
            <w:tcMar>
              <w:top w:w="65" w:type="dxa"/>
              <w:left w:w="65" w:type="dxa"/>
              <w:bottom w:w="65" w:type="dxa"/>
              <w:right w:w="65" w:type="dxa"/>
            </w:tcMar>
          </w:tcPr>
          <w:p>
            <w:r>
              <w:t>CMK m.68/1 uyarınca bilirkişinin belirli teknik noktaları açıklamak üzere duruşmaya çağrılması ve soruların yöneltilmesi talebidir.</w:t>
            </w:r>
          </w:p>
        </w:tc>
      </w:tr>
    </w:tbl>
    <w:p>
      <w:pPr>
        <w:pStyle w:val="Heading1"/>
      </w:pPr>
      <w:r>
        <w:t>AÇIKLAMALAR</w:t>
      </w:r>
    </w:p>
    <w:p>
      <w:r>
        <w:t>1. Mahkemenizin yukarıda numarası yazılı dosyasında [görevlendirme tarihi] tarihli kararla [inceleme konusu] hakkında bilirkişi incelemesi yaptırılmış; [bilirkişi/kurul adı] tarafından düzenlenen [tarih] tarihli [kök/ek] rapor [evrak numarası] ile dosyaya sunulmuştur.</w:t>
      </w:r>
    </w:p>
    <w:p>
      <w:r>
        <w:t>2. Rapor tarafımıza [tebliğ/erişim tarihi] tarihinde ulaşmıştır. Talep, raporun tamamına yönelik soyut bir memnuniyetsizliğe değil; aşağıda rapor sayfası, veri kaydı ve teknik sonucu ayrı ayrı gösterilen açıklama ihtiyaçlarına dayanmaktadır.</w:t>
      </w:r>
    </w:p>
    <w:p>
      <w:r>
        <w:t>3. Raporun [sayfa ve bölüm] kısmında [teknik tespit] yazılmış; ancak bu sonuca götüren [ölçüm yöntemi / yazılım ayarı / hesap formülü / veri eleme ölçütü] açıklanmamıştır. Ekli soru çizelgesinin 1 ve 2 numaralı soruları yalnız bu yöntemin ve ara adımların açıklanmasına yöneliktir.</w:t>
      </w:r>
    </w:p>
    <w:p>
      <w:r>
        <w:t>4. Raporun [sayfa] kısmında [birinci sonuç], [başka sayfa veya ek] kısmında ise aynı veri bakımından [ikinci sonuç] yer almaktadır. İki kaydın farklı olup olmadığı, farklıysa bunun veri, zaman dilimi, yuvarlama veya teknik sınıflandırmadan kaynaklanıp kaynaklanmadığı yazılı metinden anlaşılamamaktadır.</w:t>
      </w:r>
    </w:p>
    <w:p>
      <w:r>
        <w:t>5. [Somut örnek:] Ek-2 log tablosundaki [kayıt] için kullanılan zaman dilimi [UTC / UTC+3] olarak gösterilmiş; rapor sonucundaki saate hangi dönüşümün uygulandığı belirtilmemiştir. Bu husus isnat edilen olayın [tarih ve saat aralığı] ile teknik kaydın eşleştirilmesini doğrudan etkilemektedir.</w:t>
      </w:r>
    </w:p>
    <w:p>
      <w:r>
        <w:t>6. İstenen açıklama yeni cihaz, numune veya veri üzerinde yeni inceleme yaptırmaya yönelik değildir. Bilirkişinin dosyaya sunduğu raporda kullandığını belirttiği veri ve yöntemlerin nasıl uygulandığının sözlü olarak açıklanması istenmektedir. Yeni inceleme ihtiyacı doğarsa bunun CMK m.67/5 kapsamında ayrıca karara bağlanması gerekir.</w:t>
      </w:r>
    </w:p>
    <w:p>
      <w:r>
        <w:t>7. CMK m.68/1 uyarınca mahkeme bilirkişiyi her zaman dinleyebilir ve ilgililerden birinin istemi üzerine açıklamalarda bulunmak üzere duruşmaya çağırabilir. Mevcut belirsizliklerin yazılı rapor üzerinden giderilememesi nedeniyle bilirkişinin duruşmada dinlenmesi uyuşmazlığın teknik noktasını aydınlatacaktır.</w:t>
      </w:r>
    </w:p>
    <w:p>
      <w:r>
        <w:t>8. Bilirkişiye yöneltilmesi istenen sorular Ek-1 çizelgesindedir. Sorular rapordaki belirli sayfa ve veriyle eşleştirilmiş, tek konulu ve teknik sınırlar içinde hazırlanmıştır. Bilirkişiden suçun hukuki niteliği, kast, kusur veya delilin hukuka uygunluğu hakkında görüş istenmemektedir.</w:t>
      </w:r>
    </w:p>
    <w:p>
      <w:r>
        <w:t>9. Soruların Cumhuriyet savcısı, müdafi ve vekil bakımından CMK m.201 uyarınca doğrudan; sanık ve katılan bakımından mahkeme aracılığıyla yöneltilmesine, itiraz edilen sorular hakkında mahkemece karar verilmesine ve teknik cevapların soru numarasıyla tutanağa geçirilmesine karar verilmesi talep olunur.</w:t>
      </w:r>
    </w:p>
    <w:p>
      <w:r>
        <w:t>10. [Birden çok bilirkişi varsa:] Kurul üyeleri [konu] bakımından farklı yöntem veya sonuç bildirmiştir. CMK m.68/2, bilirkişilerin teker teker alınıp birbirinden ayrı dinlenmesini zorunlu tutmamaktadır. Her üyenin kendi teknik açıklamasının soru numarasıyla ayrı kayda geçirilmesi ve açıklamadan sonra çekilme izni verilmedikçe duruşma salonunda kalma kuralının gözetilmesi istenmektedir.</w:t>
      </w:r>
    </w:p>
    <w:p>
      <w:r>
        <w:t>11. Bilirkişinin dinlenmesinden sonra CMK m.215 kapsamında açıklamalara karşı diyeceklerimizin sorulması; duruşmada tartışılan rapor, sözlü açıklama ve diğer delillerin CMK m.217/1 çerçevesinde değerlendirilmesi gerekir.</w:t>
      </w:r>
    </w:p>
    <w:p>
      <w:r>
        <w:t>12. Bu başvuru CMK m.67/5 kapsamında verilmiş veya verilecek itiraz süresini kendiliğinden durdurduğu iddiasıyla sunulmamıştır. Dosyadaki süre kararı saklıdır; dinleme sonrasında yeni bir teknik çelişki doğarsa buna ilişkin beyanda bulunma imkânı için açık ara karar verilmesi istenmektedir.</w:t>
      </w:r>
    </w:p>
    <w:p>
      <w:r>
        <w:br w:type="page"/>
      </w:r>
    </w:p>
    <w:p>
      <w:pPr>
        <w:pStyle w:val="Heading1"/>
      </w:pPr>
      <w:r>
        <w:t>TEKNİK SORU ÇİZELGESİ</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605"/>
        <w:gridCol w:w="1800"/>
        <w:gridCol w:w="4968"/>
        <w:gridCol w:w="2477"/>
      </w:tblGrid>
      <w:tr>
        <w:tc>
          <w:tcPr>
            <w:tcW w:type="dxa" w:w="605"/>
            <w:tcMar>
              <w:top w:w="55" w:type="dxa"/>
              <w:left w:w="55" w:type="dxa"/>
              <w:bottom w:w="55" w:type="dxa"/>
              <w:right w:w="55" w:type="dxa"/>
            </w:tcMar>
            <w:shd w:fill="D9EAF7"/>
          </w:tcPr>
          <w:p>
            <w:r>
              <w:rPr>
                <w:rFonts w:ascii="Arial" w:hAnsi="Arial"/>
                <w:b/>
                <w:sz w:val="15"/>
              </w:rPr>
              <w:t>No</w:t>
            </w:r>
          </w:p>
        </w:tc>
        <w:tc>
          <w:tcPr>
            <w:tcW w:type="dxa" w:w="1800"/>
            <w:tcMar>
              <w:top w:w="55" w:type="dxa"/>
              <w:left w:w="55" w:type="dxa"/>
              <w:bottom w:w="55" w:type="dxa"/>
              <w:right w:w="55" w:type="dxa"/>
            </w:tcMar>
            <w:shd w:fill="D9EAF7"/>
          </w:tcPr>
          <w:p>
            <w:r>
              <w:rPr>
                <w:rFonts w:ascii="Arial" w:hAnsi="Arial"/>
                <w:b/>
                <w:sz w:val="15"/>
              </w:rPr>
              <w:t>Rapor bölümü</w:t>
            </w:r>
          </w:p>
        </w:tc>
        <w:tc>
          <w:tcPr>
            <w:tcW w:type="dxa" w:w="4968"/>
            <w:tcMar>
              <w:top w:w="55" w:type="dxa"/>
              <w:left w:w="55" w:type="dxa"/>
              <w:bottom w:w="55" w:type="dxa"/>
              <w:right w:w="55" w:type="dxa"/>
            </w:tcMar>
            <w:shd w:fill="D9EAF7"/>
          </w:tcPr>
          <w:p>
            <w:r>
              <w:rPr>
                <w:rFonts w:ascii="Arial" w:hAnsi="Arial"/>
                <w:b/>
                <w:sz w:val="15"/>
              </w:rPr>
              <w:t>Teknik soru</w:t>
            </w:r>
          </w:p>
        </w:tc>
        <w:tc>
          <w:tcPr>
            <w:tcW w:type="dxa" w:w="2477"/>
            <w:tcMar>
              <w:top w:w="55" w:type="dxa"/>
              <w:left w:w="55" w:type="dxa"/>
              <w:bottom w:w="55" w:type="dxa"/>
              <w:right w:w="55" w:type="dxa"/>
            </w:tcMar>
            <w:shd w:fill="D9EAF7"/>
          </w:tcPr>
          <w:p>
            <w:r>
              <w:rPr>
                <w:rFonts w:ascii="Arial" w:hAnsi="Arial"/>
                <w:b/>
                <w:sz w:val="15"/>
              </w:rPr>
              <w:t>Aydınlatacağı nokta</w:t>
            </w:r>
          </w:p>
        </w:tc>
      </w:tr>
      <w:tr>
        <w:tc>
          <w:tcPr>
            <w:tcW w:type="dxa" w:w="605"/>
            <w:vAlign w:val="center"/>
            <w:tcMar>
              <w:top w:w="55" w:type="dxa"/>
              <w:left w:w="55" w:type="dxa"/>
              <w:bottom w:w="55" w:type="dxa"/>
              <w:right w:w="55" w:type="dxa"/>
            </w:tcMar>
          </w:tcPr>
          <w:p>
            <w:r>
              <w:rPr>
                <w:rFonts w:ascii="Arial" w:hAnsi="Arial"/>
                <w:sz w:val="15"/>
              </w:rPr>
              <w:t>1</w:t>
            </w:r>
          </w:p>
        </w:tc>
        <w:tc>
          <w:tcPr>
            <w:tcW w:type="dxa" w:w="1800"/>
            <w:vAlign w:val="center"/>
            <w:tcMar>
              <w:top w:w="55" w:type="dxa"/>
              <w:left w:w="55" w:type="dxa"/>
              <w:bottom w:w="55" w:type="dxa"/>
              <w:right w:w="55" w:type="dxa"/>
            </w:tcMar>
          </w:tcPr>
          <w:p>
            <w:r>
              <w:rPr>
                <w:rFonts w:ascii="Arial" w:hAnsi="Arial"/>
                <w:sz w:val="15"/>
              </w:rPr>
              <w:t>[s. / tablo]</w:t>
            </w:r>
          </w:p>
        </w:tc>
        <w:tc>
          <w:tcPr>
            <w:tcW w:type="dxa" w:w="4968"/>
            <w:vAlign w:val="center"/>
            <w:tcMar>
              <w:top w:w="55" w:type="dxa"/>
              <w:left w:w="55" w:type="dxa"/>
              <w:bottom w:w="55" w:type="dxa"/>
              <w:right w:w="55" w:type="dxa"/>
            </w:tcMar>
          </w:tcPr>
          <w:p>
            <w:r>
              <w:rPr>
                <w:rFonts w:ascii="Arial" w:hAnsi="Arial"/>
                <w:sz w:val="15"/>
              </w:rPr>
              <w:t>[Kullanılan veri kaynağı ve doğrulama adımı nedir?]</w:t>
            </w:r>
          </w:p>
        </w:tc>
        <w:tc>
          <w:tcPr>
            <w:tcW w:type="dxa" w:w="2477"/>
            <w:vAlign w:val="center"/>
            <w:tcMar>
              <w:top w:w="55" w:type="dxa"/>
              <w:left w:w="55" w:type="dxa"/>
              <w:bottom w:w="55" w:type="dxa"/>
              <w:right w:w="55" w:type="dxa"/>
            </w:tcMar>
          </w:tcPr>
          <w:p>
            <w:r>
              <w:rPr>
                <w:rFonts w:ascii="Arial" w:hAnsi="Arial"/>
                <w:sz w:val="15"/>
              </w:rPr>
              <w:t>[Veri bütünlüğü]</w:t>
            </w:r>
          </w:p>
        </w:tc>
      </w:tr>
      <w:tr>
        <w:tc>
          <w:tcPr>
            <w:tcW w:type="dxa" w:w="605"/>
            <w:vAlign w:val="center"/>
            <w:tcMar>
              <w:top w:w="55" w:type="dxa"/>
              <w:left w:w="55" w:type="dxa"/>
              <w:bottom w:w="55" w:type="dxa"/>
              <w:right w:w="55" w:type="dxa"/>
            </w:tcMar>
          </w:tcPr>
          <w:p>
            <w:r>
              <w:rPr>
                <w:rFonts w:ascii="Arial" w:hAnsi="Arial"/>
                <w:sz w:val="15"/>
              </w:rPr>
              <w:t>2</w:t>
            </w:r>
          </w:p>
        </w:tc>
        <w:tc>
          <w:tcPr>
            <w:tcW w:type="dxa" w:w="1800"/>
            <w:vAlign w:val="center"/>
            <w:tcMar>
              <w:top w:w="55" w:type="dxa"/>
              <w:left w:w="55" w:type="dxa"/>
              <w:bottom w:w="55" w:type="dxa"/>
              <w:right w:w="55" w:type="dxa"/>
            </w:tcMar>
          </w:tcPr>
          <w:p>
            <w:r>
              <w:rPr>
                <w:rFonts w:ascii="Arial" w:hAnsi="Arial"/>
                <w:sz w:val="15"/>
              </w:rPr>
              <w:t>[s. / hesap]</w:t>
            </w:r>
          </w:p>
        </w:tc>
        <w:tc>
          <w:tcPr>
            <w:tcW w:type="dxa" w:w="4968"/>
            <w:vAlign w:val="center"/>
            <w:tcMar>
              <w:top w:w="55" w:type="dxa"/>
              <w:left w:w="55" w:type="dxa"/>
              <w:bottom w:w="55" w:type="dxa"/>
              <w:right w:w="55" w:type="dxa"/>
            </w:tcMar>
          </w:tcPr>
          <w:p>
            <w:r>
              <w:rPr>
                <w:rFonts w:ascii="Arial" w:hAnsi="Arial"/>
                <w:sz w:val="15"/>
              </w:rPr>
              <w:t>[Ara hesaplar hangi formül ve birimle yapılmıştır?]</w:t>
            </w:r>
          </w:p>
        </w:tc>
        <w:tc>
          <w:tcPr>
            <w:tcW w:type="dxa" w:w="2477"/>
            <w:vAlign w:val="center"/>
            <w:tcMar>
              <w:top w:w="55" w:type="dxa"/>
              <w:left w:w="55" w:type="dxa"/>
              <w:bottom w:w="55" w:type="dxa"/>
              <w:right w:w="55" w:type="dxa"/>
            </w:tcMar>
          </w:tcPr>
          <w:p>
            <w:r>
              <w:rPr>
                <w:rFonts w:ascii="Arial" w:hAnsi="Arial"/>
                <w:sz w:val="15"/>
              </w:rPr>
              <w:t>[Sonucun yeniden üretimi]</w:t>
            </w:r>
          </w:p>
        </w:tc>
      </w:tr>
      <w:tr>
        <w:tc>
          <w:tcPr>
            <w:tcW w:type="dxa" w:w="605"/>
            <w:vAlign w:val="center"/>
            <w:tcMar>
              <w:top w:w="55" w:type="dxa"/>
              <w:left w:w="55" w:type="dxa"/>
              <w:bottom w:w="55" w:type="dxa"/>
              <w:right w:w="55" w:type="dxa"/>
            </w:tcMar>
          </w:tcPr>
          <w:p>
            <w:r>
              <w:rPr>
                <w:rFonts w:ascii="Arial" w:hAnsi="Arial"/>
                <w:sz w:val="15"/>
              </w:rPr>
              <w:t>3</w:t>
            </w:r>
          </w:p>
        </w:tc>
        <w:tc>
          <w:tcPr>
            <w:tcW w:type="dxa" w:w="1800"/>
            <w:vAlign w:val="center"/>
            <w:tcMar>
              <w:top w:w="55" w:type="dxa"/>
              <w:left w:w="55" w:type="dxa"/>
              <w:bottom w:w="55" w:type="dxa"/>
              <w:right w:w="55" w:type="dxa"/>
            </w:tcMar>
          </w:tcPr>
          <w:p>
            <w:r>
              <w:rPr>
                <w:rFonts w:ascii="Arial" w:hAnsi="Arial"/>
                <w:sz w:val="15"/>
              </w:rPr>
              <w:t>[s. / ek]</w:t>
            </w:r>
          </w:p>
        </w:tc>
        <w:tc>
          <w:tcPr>
            <w:tcW w:type="dxa" w:w="4968"/>
            <w:vAlign w:val="center"/>
            <w:tcMar>
              <w:top w:w="55" w:type="dxa"/>
              <w:left w:w="55" w:type="dxa"/>
              <w:bottom w:w="55" w:type="dxa"/>
              <w:right w:w="55" w:type="dxa"/>
            </w:tcMar>
          </w:tcPr>
          <w:p>
            <w:r>
              <w:rPr>
                <w:rFonts w:ascii="Arial" w:hAnsi="Arial"/>
                <w:sz w:val="15"/>
              </w:rPr>
              <w:t>[İki kayıt arasındaki farkın teknik nedeni nedir?]</w:t>
            </w:r>
          </w:p>
        </w:tc>
        <w:tc>
          <w:tcPr>
            <w:tcW w:type="dxa" w:w="2477"/>
            <w:vAlign w:val="center"/>
            <w:tcMar>
              <w:top w:w="55" w:type="dxa"/>
              <w:left w:w="55" w:type="dxa"/>
              <w:bottom w:w="55" w:type="dxa"/>
              <w:right w:w="55" w:type="dxa"/>
            </w:tcMar>
          </w:tcPr>
          <w:p>
            <w:r>
              <w:rPr>
                <w:rFonts w:ascii="Arial" w:hAnsi="Arial"/>
                <w:sz w:val="15"/>
              </w:rPr>
              <w:t>[İç çelişkinin giderilmesi]</w:t>
            </w:r>
          </w:p>
        </w:tc>
      </w:tr>
      <w:tr>
        <w:tc>
          <w:tcPr>
            <w:tcW w:type="dxa" w:w="605"/>
            <w:vAlign w:val="center"/>
            <w:tcMar>
              <w:top w:w="55" w:type="dxa"/>
              <w:left w:w="55" w:type="dxa"/>
              <w:bottom w:w="55" w:type="dxa"/>
              <w:right w:w="55" w:type="dxa"/>
            </w:tcMar>
          </w:tcPr>
          <w:p>
            <w:r>
              <w:rPr>
                <w:rFonts w:ascii="Arial" w:hAnsi="Arial"/>
                <w:sz w:val="15"/>
              </w:rPr>
              <w:t>4</w:t>
            </w:r>
          </w:p>
        </w:tc>
        <w:tc>
          <w:tcPr>
            <w:tcW w:type="dxa" w:w="1800"/>
            <w:vAlign w:val="center"/>
            <w:tcMar>
              <w:top w:w="55" w:type="dxa"/>
              <w:left w:w="55" w:type="dxa"/>
              <w:bottom w:w="55" w:type="dxa"/>
              <w:right w:w="55" w:type="dxa"/>
            </w:tcMar>
          </w:tcPr>
          <w:p>
            <w:r>
              <w:rPr>
                <w:rFonts w:ascii="Arial" w:hAnsi="Arial"/>
                <w:sz w:val="15"/>
              </w:rPr>
              <w:t>[s. / yöntem]</w:t>
            </w:r>
          </w:p>
        </w:tc>
        <w:tc>
          <w:tcPr>
            <w:tcW w:type="dxa" w:w="4968"/>
            <w:vAlign w:val="center"/>
            <w:tcMar>
              <w:top w:w="55" w:type="dxa"/>
              <w:left w:w="55" w:type="dxa"/>
              <w:bottom w:w="55" w:type="dxa"/>
              <w:right w:w="55" w:type="dxa"/>
            </w:tcMar>
          </w:tcPr>
          <w:p>
            <w:r>
              <w:rPr>
                <w:rFonts w:ascii="Arial" w:hAnsi="Arial"/>
                <w:sz w:val="15"/>
              </w:rPr>
              <w:t>[Uygulanan eşik veya standardın adı ve sürümü nedir?]</w:t>
            </w:r>
          </w:p>
        </w:tc>
        <w:tc>
          <w:tcPr>
            <w:tcW w:type="dxa" w:w="2477"/>
            <w:vAlign w:val="center"/>
            <w:tcMar>
              <w:top w:w="55" w:type="dxa"/>
              <w:left w:w="55" w:type="dxa"/>
              <w:bottom w:w="55" w:type="dxa"/>
              <w:right w:w="55" w:type="dxa"/>
            </w:tcMar>
          </w:tcPr>
          <w:p>
            <w:r>
              <w:rPr>
                <w:rFonts w:ascii="Arial" w:hAnsi="Arial"/>
                <w:sz w:val="15"/>
              </w:rPr>
              <w:t>[Yöntemin denetimi]</w:t>
            </w:r>
          </w:p>
        </w:tc>
      </w:tr>
    </w:tbl>
    <w:p>
      <w:pPr>
        <w:pStyle w:val="Heading1"/>
      </w:pPr>
      <w:r>
        <w:t>HUKUKİ NEDENLER</w:t>
      </w:r>
    </w:p>
    <w:p>
      <w:r>
        <w:t>5271 sayılı Ceza Muhakemesi Kanunu m.67/3-5, 68/1-3, 201, 215, 217 ve 221 ile ilgili diğer mevzuat.</w:t>
      </w:r>
    </w:p>
    <w:p>
      <w:pPr>
        <w:pStyle w:val="Heading1"/>
      </w:pPr>
      <w:r>
        <w:t>DELİLLER</w:t>
      </w:r>
    </w:p>
    <w:p>
      <w:r>
        <w:t>Bilirkişi görevlendirme kararı; [tarih] tarihli rapor ve ekleri; raporun tebliğ/erişim kaydı; açıklama gereken bölümün işaretli örneği; soru çizelgesi; duruşma ve UYAP evrak kayıtları; dosyada mevcut diğer belgeler.</w:t>
      </w:r>
    </w:p>
    <w:p>
      <w:pPr>
        <w:pStyle w:val="Heading1"/>
      </w:pPr>
      <w:r>
        <w:t>SONUÇ VE İSTEM</w:t>
      </w:r>
    </w:p>
    <w:p>
      <w:r>
        <w:t>Açıklanan nedenlerle;</w:t>
      </w:r>
    </w:p>
    <w:p>
      <w:pPr>
        <w:pStyle w:val="ListNumber"/>
      </w:pPr>
      <w:r>
        <w:t>[Tarih] tarihli bilirkişi raporunu düzenleyen [ad soyad]ın, raporun yukarıda belirtilen teknik noktalarını açıklamak üzere CMK m.68/1 uyarınca duruşmaya çağrılmasına,</w:t>
      </w:r>
    </w:p>
    <w:p>
      <w:pPr>
        <w:pStyle w:val="ListNumber"/>
      </w:pPr>
      <w:r>
        <w:t>Ek-1 soru çizelgesindeki soruların CMK m.201 düzeninde bilirkişiye yöneltilmesine ve her cevabın soru numarasıyla duruşma tutanağına geçirilmesine,</w:t>
      </w:r>
    </w:p>
    <w:p>
      <w:pPr>
        <w:pStyle w:val="ListNumber"/>
      </w:pPr>
      <w:r>
        <w:t>[Kurul hâlinde inceleme varsa:] CMK m.68/2’de ayrı dinlemenin zorunlu olmadığının ve açıklamadan sonra izin verilmedikçe bilirkişilerin salonda kalacağı kuralının gözetilmesine; her üyenin teknik açıklamasının adı ve soru numarasıyla ayrı kayda geçirilmesine,</w:t>
      </w:r>
    </w:p>
    <w:p>
      <w:pPr>
        <w:pStyle w:val="ListNumber"/>
      </w:pPr>
      <w:r>
        <w:t>Bilirkişinin açıklamasından sonra CMK m.215 uyarınca Cumhuriyet savcısı, katılan veya vekili ile sanık ve müdafiine beyanda bulunma imkânı verilmesine,</w:t>
      </w:r>
    </w:p>
    <w:p>
      <w:pPr>
        <w:pStyle w:val="ListNumber"/>
      </w:pPr>
      <w:r>
        <w:t>Dinleme sırasında yeni teknik çelişki ortaya çıkarsa CMK m.67/5 kapsamındaki istemlerimizi somutlaştırmak üzere uygun süre konusunda açık ara karar kurulmasına karar verilmesini saygıyla arz ve talep ederim.</w:t>
      </w:r>
    </w:p>
    <w:p>
      <w:pPr>
        <w:jc w:val="right"/>
      </w:pPr>
      <w:r>
        <w:rPr>
          <w:b/>
        </w:rPr>
        <w:t>[Tarih]</w:t>
        <w:br/>
        <w:t>Sanık Müdafii</w:t>
        <w:br/>
        <w:t>Av. [Ad Soyad]</w:t>
        <w:br/>
        <w:t>[İmza]</w:t>
      </w:r>
    </w:p>
    <w:p>
      <w:pPr>
        <w:pStyle w:val="Heading1"/>
      </w:pPr>
      <w:r>
        <w:t>EKLER</w:t>
      </w:r>
    </w:p>
    <w:p>
      <w:pPr>
        <w:pStyle w:val="ListBullet"/>
      </w:pPr>
      <w:r>
        <w:t>Ek-1: Teknik soru çizelgesi</w:t>
      </w:r>
    </w:p>
    <w:p>
      <w:pPr>
        <w:pStyle w:val="ListBullet"/>
      </w:pPr>
      <w:r>
        <w:t>Ek-2: Bilirkişi raporu ve açıklama istenen sayfalar</w:t>
      </w:r>
    </w:p>
    <w:p>
      <w:pPr>
        <w:pStyle w:val="ListBullet"/>
      </w:pPr>
      <w:r>
        <w:t>Ek-3: Görevlendirme kararı</w:t>
      </w:r>
    </w:p>
    <w:p>
      <w:pPr>
        <w:pStyle w:val="ListBullet"/>
      </w:pPr>
      <w:r>
        <w:t>Ek-4: Rapor tebliğ veya UYAP erişim kaydı</w:t>
      </w:r>
    </w:p>
    <w:p>
      <w:pPr>
        <w:pStyle w:val="ListBullet"/>
      </w:pPr>
      <w:r>
        <w:t>Ek-5: Varsa karşılaştırma çizelgesi ve dosya içi teknik kayıtlar</w:t>
      </w:r>
    </w:p>
    <w:p>
      <w:pPr>
        <w:pStyle w:val="Heading1"/>
      </w:pPr>
      <w:r>
        <w:t>DOLDURMA KONTROLÜ</w:t>
      </w:r>
    </w:p>
    <w:p>
      <w:r>
        <w:t>Köşeli alanları gerçek dosya kayıtlarıyla doldurun; kullanılmayan seçenekleri silin. Rapor tarihini, evrak numarasını, sayfasını ve soruları tekilleştirin. Hukuki sonuç sorularını çıkarın. Dosyada bulunmayan veri veya belge eklemeyin. Son nüshada bu kontrol bölümünü silin.</w:t>
      </w:r>
    </w:p>
    <w:sectPr w:rsidR="00FC693F" w:rsidRPr="0006063C" w:rsidSect="00034616">
      <w:pgSz w:w="12240" w:h="15840"/>
      <w:pgMar w:top="936" w:right="1094" w:bottom="936"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