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jc w:val="center"/>
      </w:pPr>
      <w:r>
        <w:rPr>
          <w:rFonts w:ascii="Aptos Display" w:hAnsi="Aptos Display"/>
          <w:b/>
          <w:sz w:val="26"/>
        </w:rPr>
        <w:t>Bilirkişinin Ek Belge ve Kayıt İsteme Talebi</w:t>
      </w:r>
    </w:p>
    <w:p>
      <w:pPr>
        <w:jc w:val="center"/>
      </w:pPr>
      <w:r>
        <w:rPr>
          <w:b/>
          <w:sz w:val="22"/>
        </w:rPr>
        <w:t>T.C. MERSİN 9. AĞIR CEZA MAHKEMESİNE</w:t>
      </w:r>
    </w:p>
    <w:p>
      <w:pPr>
        <w:keepLines/>
      </w:pPr>
      <w:r>
        <w:rPr>
          <w:b/>
        </w:rPr>
        <w:t xml:space="preserve">DOSYA NUMARASI: </w:t>
      </w:r>
      <w:r>
        <w:t>2026/377 E. [Gerçek dosyaya göre değiştirin]</w:t>
      </w:r>
    </w:p>
    <w:p>
      <w:pPr>
        <w:keepLines/>
      </w:pPr>
      <w:r>
        <w:rPr>
          <w:b/>
        </w:rPr>
        <w:t xml:space="preserve">BİLİRKİŞİ: </w:t>
      </w:r>
      <w:r>
        <w:t>Elif KAYA — Adli bilişim bilirkişisi [sicil ve alt uzmanlık alanı]</w:t>
      </w:r>
    </w:p>
    <w:p>
      <w:pPr>
        <w:keepLines/>
      </w:pPr>
      <w:r>
        <w:rPr>
          <w:b/>
        </w:rPr>
        <w:t xml:space="preserve">GÖREVLENDİRME: </w:t>
      </w:r>
      <w:r>
        <w:t>28.09.2026 tarihli ara karar; UYAP erişimi 30.09.2026</w:t>
      </w:r>
    </w:p>
    <w:p>
      <w:pPr>
        <w:keepLines/>
      </w:pPr>
      <w:r>
        <w:rPr>
          <w:b/>
        </w:rPr>
        <w:t xml:space="preserve">KONU: </w:t>
      </w:r>
      <w:r>
        <w:t>Bilirkişilik Yönetmeliği m. 54/1 ve CMK m. 66/3 uyarınca, atama kararındaki teknik soruların cevaplanması için aşağıda tekilleştirilen ek kayıtların görevlendiren merci tarafından getirtilmesi ve resmî dosya üzerinden inceleme erişimi verilmesi talebidir.</w:t>
      </w:r>
    </w:p>
    <w:p>
      <w:pPr>
        <w:keepNext/>
        <w:spacing w:before="70" w:after="20"/>
        <w:jc w:val="left"/>
      </w:pPr>
      <w:r>
        <w:rPr>
          <w:b/>
          <w:color w:val="000000"/>
          <w:sz w:val="20"/>
        </w:rPr>
        <w:t>ÖN İNCELEME VE TEKNİK İHTİYAÇ</w:t>
      </w:r>
    </w:p>
    <w:p>
      <w:pPr>
        <w:keepLines/>
      </w:pPr>
      <w:r>
        <w:t>1. Mahkemenizin 28.09.2026 tarihli ara kararıyla çevrim içi ödeme işlemlerinin kullanıcı oturumu ve IP kayıtlarıyla eşleşip eşleşmediği konusunda dört teknik soru yöneltilerek görevlendirildim.</w:t>
      </w:r>
    </w:p>
    <w:p>
      <w:pPr>
        <w:keepLines/>
      </w:pPr>
      <w:r>
        <w:t>2. UYAP dosya inceleme yetkisi 30.09.2026 tarihinde açılmış; banka hesap özetleri ile ekran görüntüleri ön incelemeye alınmıştır.</w:t>
      </w:r>
    </w:p>
    <w:p>
      <w:pPr>
        <w:keepLines/>
      </w:pPr>
      <w:r>
        <w:t>3. Hesap özetlerinde saniye düzeyindeki işlem zamanı ve işlem referansı; ekran görüntülerinde ise özgün oturum, IP ve kaynak port olayları bulunmamaktadır. Bu alanlar olmadan aynı gündeki birden çok işlemin güvenilir eşleştirmesi yapılamaz.</w:t>
      </w:r>
    </w:p>
    <w:p>
      <w:pPr>
        <w:keepLines/>
      </w:pPr>
      <w:r>
        <w:t>4. İşbu talep 03.10.2026 tarihinde, ön incelemede ihtiyaç belirlenmesinden sonra Yönetmelik m. 54/1’deki bir haftalık süre içinde sunulmaktadır.</w:t>
      </w:r>
    </w:p>
    <w:p>
      <w:pPr>
        <w:keepNext/>
        <w:spacing w:before="70" w:after="20"/>
        <w:jc w:val="left"/>
      </w:pPr>
      <w:r>
        <w:rPr>
          <w:b/>
          <w:color w:val="000000"/>
          <w:sz w:val="20"/>
        </w:rPr>
        <w:t>MEVCUT MATERYAL VE EKSİK KAYIT ÇİZELGESİ</w:t>
      </w:r>
    </w:p>
    <w:tbl>
      <w:tblPr>
        <w:tblStyle w:val="TableGrid"/>
        <w:tblW w:type="auto" w:w="0"/>
        <w:tblLayout w:type="fixed"/>
        <w:tblLook w:firstColumn="1" w:firstRow="1" w:lastColumn="0" w:lastRow="0" w:noHBand="0" w:noVBand="1" w:val="04A0"/>
      </w:tblPr>
      <w:tblGrid>
        <w:gridCol w:w="2091"/>
        <w:gridCol w:w="2091"/>
        <w:gridCol w:w="2091"/>
        <w:gridCol w:w="2091"/>
        <w:gridCol w:w="2091"/>
      </w:tblGrid>
      <w:tr>
        <w:tc>
          <w:tcPr>
            <w:tcW w:type="dxa" w:w="1800"/>
            <w:shd w:fill="1F4E78"/>
            <w:tcMar>
              <w:top w:w="65" w:type="dxa"/>
              <w:start w:w="80" w:type="dxa"/>
              <w:bottom w:w="65" w:type="dxa"/>
              <w:end w:w="80" w:type="dxa"/>
            </w:tcMar>
            <w:vAlign w:val="center"/>
          </w:tcPr>
          <w:p>
            <w:r>
              <w:rPr>
                <w:b/>
                <w:color w:val="FFFFFF"/>
                <w:sz w:val="15"/>
              </w:rPr>
              <w:t>Mevcut belge</w:t>
            </w:r>
          </w:p>
        </w:tc>
        <w:tc>
          <w:tcPr>
            <w:tcW w:type="dxa" w:w="2045"/>
            <w:shd w:fill="1F4E78"/>
            <w:tcMar>
              <w:top w:w="65" w:type="dxa"/>
              <w:start w:w="80" w:type="dxa"/>
              <w:bottom w:w="65" w:type="dxa"/>
              <w:end w:w="80" w:type="dxa"/>
            </w:tcMar>
            <w:vAlign w:val="center"/>
          </w:tcPr>
          <w:p>
            <w:r>
              <w:rPr>
                <w:b/>
                <w:color w:val="FFFFFF"/>
                <w:sz w:val="15"/>
              </w:rPr>
              <w:t>Eksik alan</w:t>
            </w:r>
          </w:p>
        </w:tc>
        <w:tc>
          <w:tcPr>
            <w:tcW w:type="dxa" w:w="2232"/>
            <w:shd w:fill="1F4E78"/>
            <w:tcMar>
              <w:top w:w="65" w:type="dxa"/>
              <w:start w:w="80" w:type="dxa"/>
              <w:bottom w:w="65" w:type="dxa"/>
              <w:end w:w="80" w:type="dxa"/>
            </w:tcMar>
            <w:vAlign w:val="center"/>
          </w:tcPr>
          <w:p>
            <w:r>
              <w:rPr>
                <w:b/>
                <w:color w:val="FFFFFF"/>
                <w:sz w:val="15"/>
              </w:rPr>
              <w:t>Kurum</w:t>
            </w:r>
          </w:p>
        </w:tc>
        <w:tc>
          <w:tcPr>
            <w:tcW w:type="dxa" w:w="2376"/>
            <w:shd w:fill="1F4E78"/>
            <w:tcMar>
              <w:top w:w="65" w:type="dxa"/>
              <w:start w:w="80" w:type="dxa"/>
              <w:bottom w:w="65" w:type="dxa"/>
              <w:end w:w="80" w:type="dxa"/>
            </w:tcMar>
            <w:vAlign w:val="center"/>
          </w:tcPr>
          <w:p>
            <w:r>
              <w:rPr>
                <w:b/>
                <w:color w:val="FFFFFF"/>
                <w:sz w:val="15"/>
              </w:rPr>
              <w:t>Tarih aralığı</w:t>
            </w:r>
          </w:p>
        </w:tc>
        <w:tc>
          <w:tcPr>
            <w:tcW w:type="dxa" w:w="1944"/>
            <w:shd w:fill="1F4E78"/>
            <w:tcMar>
              <w:top w:w="65" w:type="dxa"/>
              <w:start w:w="80" w:type="dxa"/>
              <w:bottom w:w="65" w:type="dxa"/>
              <w:end w:w="80" w:type="dxa"/>
            </w:tcMar>
            <w:vAlign w:val="center"/>
          </w:tcPr>
          <w:p>
            <w:r>
              <w:rPr>
                <w:b/>
                <w:color w:val="FFFFFF"/>
                <w:sz w:val="15"/>
              </w:rPr>
              <w:t>Teknik soru</w:t>
            </w:r>
          </w:p>
        </w:tc>
      </w:tr>
      <w:tr>
        <w:tc>
          <w:tcPr>
            <w:tcW w:type="dxa" w:w="1800"/>
            <w:tcMar>
              <w:top w:w="65" w:type="dxa"/>
              <w:start w:w="80" w:type="dxa"/>
              <w:bottom w:w="65" w:type="dxa"/>
              <w:end w:w="80" w:type="dxa"/>
            </w:tcMar>
            <w:vAlign w:val="center"/>
          </w:tcPr>
          <w:p>
            <w:r>
              <w:rPr>
                <w:sz w:val="15"/>
              </w:rPr>
              <w:t>Hesap özeti</w:t>
            </w:r>
          </w:p>
        </w:tc>
        <w:tc>
          <w:tcPr>
            <w:tcW w:type="dxa" w:w="2045"/>
            <w:tcMar>
              <w:top w:w="65" w:type="dxa"/>
              <w:start w:w="80" w:type="dxa"/>
              <w:bottom w:w="65" w:type="dxa"/>
              <w:end w:w="80" w:type="dxa"/>
            </w:tcMar>
            <w:vAlign w:val="center"/>
          </w:tcPr>
          <w:p>
            <w:r>
              <w:rPr>
                <w:sz w:val="15"/>
              </w:rPr>
              <w:t>Saniye ve referans</w:t>
            </w:r>
          </w:p>
        </w:tc>
        <w:tc>
          <w:tcPr>
            <w:tcW w:type="dxa" w:w="2232"/>
            <w:tcMar>
              <w:top w:w="65" w:type="dxa"/>
              <w:start w:w="80" w:type="dxa"/>
              <w:bottom w:w="65" w:type="dxa"/>
              <w:end w:w="80" w:type="dxa"/>
            </w:tcMar>
            <w:vAlign w:val="center"/>
          </w:tcPr>
          <w:p>
            <w:r>
              <w:rPr>
                <w:sz w:val="15"/>
              </w:rPr>
              <w:t>[Banka]</w:t>
            </w:r>
          </w:p>
        </w:tc>
        <w:tc>
          <w:tcPr>
            <w:tcW w:type="dxa" w:w="2376"/>
            <w:tcMar>
              <w:top w:w="65" w:type="dxa"/>
              <w:start w:w="80" w:type="dxa"/>
              <w:bottom w:w="65" w:type="dxa"/>
              <w:end w:w="80" w:type="dxa"/>
            </w:tcMar>
            <w:vAlign w:val="center"/>
          </w:tcPr>
          <w:p>
            <w:r>
              <w:rPr>
                <w:sz w:val="15"/>
              </w:rPr>
              <w:t>02–04.09.2026</w:t>
            </w:r>
          </w:p>
        </w:tc>
        <w:tc>
          <w:tcPr>
            <w:tcW w:type="dxa" w:w="1944"/>
            <w:tcMar>
              <w:top w:w="65" w:type="dxa"/>
              <w:start w:w="80" w:type="dxa"/>
              <w:bottom w:w="65" w:type="dxa"/>
              <w:end w:w="80" w:type="dxa"/>
            </w:tcMar>
            <w:vAlign w:val="center"/>
          </w:tcPr>
          <w:p>
            <w:r>
              <w:rPr>
                <w:sz w:val="15"/>
              </w:rPr>
              <w:t>Soru 1–2</w:t>
            </w:r>
          </w:p>
        </w:tc>
      </w:tr>
      <w:tr>
        <w:tc>
          <w:tcPr>
            <w:tcW w:type="dxa" w:w="1800"/>
            <w:tcMar>
              <w:top w:w="65" w:type="dxa"/>
              <w:start w:w="80" w:type="dxa"/>
              <w:bottom w:w="65" w:type="dxa"/>
              <w:end w:w="80" w:type="dxa"/>
            </w:tcMar>
            <w:vAlign w:val="center"/>
            <w:shd w:fill="EAF2F8"/>
          </w:tcPr>
          <w:p>
            <w:r>
              <w:rPr>
                <w:sz w:val="15"/>
              </w:rPr>
              <w:t>Ekran görüntüsü</w:t>
            </w:r>
          </w:p>
        </w:tc>
        <w:tc>
          <w:tcPr>
            <w:tcW w:type="dxa" w:w="2045"/>
            <w:tcMar>
              <w:top w:w="65" w:type="dxa"/>
              <w:start w:w="80" w:type="dxa"/>
              <w:bottom w:w="65" w:type="dxa"/>
              <w:end w:w="80" w:type="dxa"/>
            </w:tcMar>
            <w:vAlign w:val="center"/>
            <w:shd w:fill="EAF2F8"/>
          </w:tcPr>
          <w:p>
            <w:r>
              <w:rPr>
                <w:sz w:val="15"/>
              </w:rPr>
              <w:t>Oturum olay kaydı</w:t>
            </w:r>
          </w:p>
        </w:tc>
        <w:tc>
          <w:tcPr>
            <w:tcW w:type="dxa" w:w="2232"/>
            <w:tcMar>
              <w:top w:w="65" w:type="dxa"/>
              <w:start w:w="80" w:type="dxa"/>
              <w:bottom w:w="65" w:type="dxa"/>
              <w:end w:w="80" w:type="dxa"/>
            </w:tcMar>
            <w:vAlign w:val="center"/>
            <w:shd w:fill="EAF2F8"/>
          </w:tcPr>
          <w:p>
            <w:r>
              <w:rPr>
                <w:sz w:val="15"/>
              </w:rPr>
              <w:t>[Ödeme kuruluşu]</w:t>
            </w:r>
          </w:p>
        </w:tc>
        <w:tc>
          <w:tcPr>
            <w:tcW w:type="dxa" w:w="2376"/>
            <w:tcMar>
              <w:top w:w="65" w:type="dxa"/>
              <w:start w:w="80" w:type="dxa"/>
              <w:bottom w:w="65" w:type="dxa"/>
              <w:end w:w="80" w:type="dxa"/>
            </w:tcMar>
            <w:vAlign w:val="center"/>
            <w:shd w:fill="EAF2F8"/>
          </w:tcPr>
          <w:p>
            <w:r>
              <w:rPr>
                <w:sz w:val="15"/>
              </w:rPr>
              <w:t>02–04.09.2026</w:t>
            </w:r>
          </w:p>
        </w:tc>
        <w:tc>
          <w:tcPr>
            <w:tcW w:type="dxa" w:w="1944"/>
            <w:tcMar>
              <w:top w:w="65" w:type="dxa"/>
              <w:start w:w="80" w:type="dxa"/>
              <w:bottom w:w="65" w:type="dxa"/>
              <w:end w:w="80" w:type="dxa"/>
            </w:tcMar>
            <w:vAlign w:val="center"/>
            <w:shd w:fill="EAF2F8"/>
          </w:tcPr>
          <w:p>
            <w:r>
              <w:rPr>
                <w:sz w:val="15"/>
              </w:rPr>
              <w:t>Soru 2</w:t>
            </w:r>
          </w:p>
        </w:tc>
      </w:tr>
      <w:tr>
        <w:tc>
          <w:tcPr>
            <w:tcW w:type="dxa" w:w="1800"/>
            <w:tcMar>
              <w:top w:w="65" w:type="dxa"/>
              <w:start w:w="80" w:type="dxa"/>
              <w:bottom w:w="65" w:type="dxa"/>
              <w:end w:w="80" w:type="dxa"/>
            </w:tcMar>
            <w:vAlign w:val="center"/>
          </w:tcPr>
          <w:p>
            <w:r>
              <w:rPr>
                <w:sz w:val="15"/>
              </w:rPr>
              <w:t>IP bilgisi yok</w:t>
            </w:r>
          </w:p>
        </w:tc>
        <w:tc>
          <w:tcPr>
            <w:tcW w:type="dxa" w:w="2045"/>
            <w:tcMar>
              <w:top w:w="65" w:type="dxa"/>
              <w:start w:w="80" w:type="dxa"/>
              <w:bottom w:w="65" w:type="dxa"/>
              <w:end w:w="80" w:type="dxa"/>
            </w:tcMar>
            <w:vAlign w:val="center"/>
          </w:tcPr>
          <w:p>
            <w:r>
              <w:rPr>
                <w:sz w:val="15"/>
              </w:rPr>
              <w:t>IP ve kaynak port</w:t>
            </w:r>
          </w:p>
        </w:tc>
        <w:tc>
          <w:tcPr>
            <w:tcW w:type="dxa" w:w="2232"/>
            <w:tcMar>
              <w:top w:w="65" w:type="dxa"/>
              <w:start w:w="80" w:type="dxa"/>
              <w:bottom w:w="65" w:type="dxa"/>
              <w:end w:w="80" w:type="dxa"/>
            </w:tcMar>
            <w:vAlign w:val="center"/>
          </w:tcPr>
          <w:p>
            <w:r>
              <w:rPr>
                <w:sz w:val="15"/>
              </w:rPr>
              <w:t>[Ödeme kuruluşu]</w:t>
            </w:r>
          </w:p>
        </w:tc>
        <w:tc>
          <w:tcPr>
            <w:tcW w:type="dxa" w:w="2376"/>
            <w:tcMar>
              <w:top w:w="65" w:type="dxa"/>
              <w:start w:w="80" w:type="dxa"/>
              <w:bottom w:w="65" w:type="dxa"/>
              <w:end w:w="80" w:type="dxa"/>
            </w:tcMar>
            <w:vAlign w:val="center"/>
          </w:tcPr>
          <w:p>
            <w:r>
              <w:rPr>
                <w:sz w:val="15"/>
              </w:rPr>
              <w:t>Belirli saatler</w:t>
            </w:r>
          </w:p>
        </w:tc>
        <w:tc>
          <w:tcPr>
            <w:tcW w:type="dxa" w:w="1944"/>
            <w:tcMar>
              <w:top w:w="65" w:type="dxa"/>
              <w:start w:w="80" w:type="dxa"/>
              <w:bottom w:w="65" w:type="dxa"/>
              <w:end w:w="80" w:type="dxa"/>
            </w:tcMar>
            <w:vAlign w:val="center"/>
          </w:tcPr>
          <w:p>
            <w:r>
              <w:rPr>
                <w:sz w:val="15"/>
              </w:rPr>
              <w:t>Soru 3</w:t>
            </w:r>
          </w:p>
        </w:tc>
      </w:tr>
      <w:tr>
        <w:tc>
          <w:tcPr>
            <w:tcW w:type="dxa" w:w="1800"/>
            <w:tcMar>
              <w:top w:w="65" w:type="dxa"/>
              <w:start w:w="80" w:type="dxa"/>
              <w:bottom w:w="65" w:type="dxa"/>
              <w:end w:w="80" w:type="dxa"/>
            </w:tcMar>
            <w:vAlign w:val="center"/>
            <w:shd w:fill="EAF2F8"/>
          </w:tcPr>
          <w:p>
            <w:r>
              <w:rPr>
                <w:sz w:val="15"/>
              </w:rPr>
              <w:t>Zaman açıklaması yok</w:t>
            </w:r>
          </w:p>
        </w:tc>
        <w:tc>
          <w:tcPr>
            <w:tcW w:type="dxa" w:w="2045"/>
            <w:tcMar>
              <w:top w:w="65" w:type="dxa"/>
              <w:start w:w="80" w:type="dxa"/>
              <w:bottom w:w="65" w:type="dxa"/>
              <w:end w:w="80" w:type="dxa"/>
            </w:tcMar>
            <w:vAlign w:val="center"/>
            <w:shd w:fill="EAF2F8"/>
          </w:tcPr>
          <w:p>
            <w:r>
              <w:rPr>
                <w:sz w:val="15"/>
              </w:rPr>
              <w:t>Zaman dilimi ve sistem saati</w:t>
            </w:r>
          </w:p>
        </w:tc>
        <w:tc>
          <w:tcPr>
            <w:tcW w:type="dxa" w:w="2232"/>
            <w:tcMar>
              <w:top w:w="65" w:type="dxa"/>
              <w:start w:w="80" w:type="dxa"/>
              <w:bottom w:w="65" w:type="dxa"/>
              <w:end w:w="80" w:type="dxa"/>
            </w:tcMar>
            <w:vAlign w:val="center"/>
            <w:shd w:fill="EAF2F8"/>
          </w:tcPr>
          <w:p>
            <w:r>
              <w:rPr>
                <w:sz w:val="15"/>
              </w:rPr>
              <w:t>İki kurum</w:t>
            </w:r>
          </w:p>
        </w:tc>
        <w:tc>
          <w:tcPr>
            <w:tcW w:type="dxa" w:w="2376"/>
            <w:tcMar>
              <w:top w:w="65" w:type="dxa"/>
              <w:start w:w="80" w:type="dxa"/>
              <w:bottom w:w="65" w:type="dxa"/>
              <w:end w:w="80" w:type="dxa"/>
            </w:tcMar>
            <w:vAlign w:val="center"/>
            <w:shd w:fill="EAF2F8"/>
          </w:tcPr>
          <w:p>
            <w:r>
              <w:rPr>
                <w:sz w:val="15"/>
              </w:rPr>
              <w:t>İlgili dönem</w:t>
            </w:r>
          </w:p>
        </w:tc>
        <w:tc>
          <w:tcPr>
            <w:tcW w:type="dxa" w:w="1944"/>
            <w:tcMar>
              <w:top w:w="65" w:type="dxa"/>
              <w:start w:w="80" w:type="dxa"/>
              <w:bottom w:w="65" w:type="dxa"/>
              <w:end w:w="80" w:type="dxa"/>
            </w:tcMar>
            <w:vAlign w:val="center"/>
            <w:shd w:fill="EAF2F8"/>
          </w:tcPr>
          <w:p>
            <w:r>
              <w:rPr>
                <w:sz w:val="15"/>
              </w:rPr>
              <w:t>Soru 1–3</w:t>
            </w:r>
          </w:p>
        </w:tc>
      </w:tr>
    </w:tbl>
    <w:p>
      <w:pPr>
        <w:keepNext/>
        <w:spacing w:before="70" w:after="20"/>
        <w:jc w:val="left"/>
      </w:pPr>
      <w:r>
        <w:rPr>
          <w:b/>
          <w:color w:val="000000"/>
          <w:sz w:val="20"/>
        </w:rPr>
        <w:t>HUKUKİ DAYANAK VE GÖREV SINIRI</w:t>
      </w:r>
    </w:p>
    <w:p>
      <w:pPr>
        <w:keepLines/>
      </w:pPr>
      <w:r>
        <w:t>5. Bilirkişilik Yönetmeliği m. 54/1, ön incelemede ek kayıt veya belgeye ihtiyaç duyan bilirkişinin bir hafta içinde görevlendiren merciden talepte bulunmasını düzenler.</w:t>
      </w:r>
    </w:p>
    <w:p>
      <w:pPr>
        <w:keepLines/>
      </w:pPr>
      <w:r>
        <w:t>6. CMK m. 66/3 uyarınca bilirkişi görevini kendisini atayan merci ile ilişki içinde yerine getirir, gelişmeleri bildirir ve yararlı tedbirleri bu merciden ister.</w:t>
      </w:r>
    </w:p>
    <w:p>
      <w:pPr>
        <w:keepLines/>
      </w:pPr>
      <w:r>
        <w:t>7. İstenen kayıtlar yalnız atama kararındaki teknik sorulara ilişkindir; hukukî nitelendirme, kast veya suçun oluşumu hakkında yeni görev talep edilmemektedir.</w:t>
      </w:r>
    </w:p>
    <w:p>
      <w:pPr>
        <w:keepLines/>
      </w:pPr>
      <w:r>
        <w:t>8. Görev sorularındaki [belirsiz ifade] yönünden tereddüt bulunuyorsa Yönetmelik m. 54/2 uyarınca kapsamın açıklanması istenmektedir.</w:t>
      </w:r>
    </w:p>
    <w:p>
      <w:pPr>
        <w:keepNext/>
        <w:spacing w:before="70" w:after="20"/>
        <w:jc w:val="left"/>
      </w:pPr>
      <w:r>
        <w:rPr>
          <w:b/>
          <w:color w:val="000000"/>
          <w:sz w:val="20"/>
        </w:rPr>
        <w:t>İSTENEN KAYITLARIN TEKNİK KAPSAMI</w:t>
      </w:r>
    </w:p>
    <w:p>
      <w:pPr>
        <w:keepLines/>
      </w:pPr>
      <w:r>
        <w:t>9. [Banka] nezdindeki [IBAN/hesap] için 02.09.2026 00.00 ile 04.09.2026 23.59 arasındaki işlemlerin saniye düzeyindeki zaman damgası, işlem referansı ve mevcutsa kanal bilgisi istenmelidir.</w:t>
      </w:r>
    </w:p>
    <w:p>
      <w:pPr>
        <w:keepLines/>
      </w:pPr>
      <w:r>
        <w:t>10. [Ödeme kuruluşu] nezdindeki [kullanıcı/işlem kimliği] için aynı aralıktaki oturum açma-kapama olayları ile IP ve kaynak port kayıtları istenmelidir.</w:t>
      </w:r>
    </w:p>
    <w:p>
      <w:pPr>
        <w:keepLines/>
      </w:pPr>
      <w:r>
        <w:t>11. Her kurumdan kayıt saatinin zaman dilimi, sistem saati açıklaması, elektronik ekin özgün dışa aktarımı ve mevcut doğrulama bilgisi sorulmalıdır.</w:t>
      </w:r>
    </w:p>
    <w:p>
      <w:pPr>
        <w:keepLines/>
      </w:pPr>
      <w:r>
        <w:t>12. Kurum sisteminde bulunmayan alanın üretilmesi istenmemekte; mevcut alanların resmî cevapla ve elektronik ekle dosyaya gönderilmesi talep edilmektedir.</w:t>
      </w:r>
    </w:p>
    <w:p>
      <w:pPr>
        <w:keepLines/>
      </w:pPr>
      <w:r>
        <w:t>13. Kayıtlar kişisel veri ve sır içerdiğinden yalnız belirtilen hesap, kullanıcı ve zaman aralığıyla sınırlı tutulmalı; resmî dosya ve güvenli erişim kanalı kullanılmalıdır.</w:t>
      </w:r>
    </w:p>
    <w:p>
      <w:pPr>
        <w:keepNext/>
        <w:spacing w:before="70" w:after="20"/>
        <w:jc w:val="left"/>
      </w:pPr>
      <w:r>
        <w:rPr>
          <w:b/>
          <w:color w:val="000000"/>
          <w:sz w:val="20"/>
        </w:rPr>
        <w:t>RAPOR SÜRESİ VE GELİŞME BİLDİRİMİ</w:t>
      </w:r>
    </w:p>
    <w:p>
      <w:pPr>
        <w:keepLines/>
      </w:pPr>
      <w:r>
        <w:t>14. Ek belge talebi rapor süresini kendiliğinden durdurmaz veya uzatmaz. Müzekkere cevaplarının mevcut süre içinde gelmemesi hâlinde CMK m. 66/1 uyarınca ayrıca somut süre talebi sunulacaktır.</w:t>
      </w:r>
    </w:p>
    <w:p>
      <w:pPr>
        <w:keepLines/>
      </w:pPr>
      <w:r>
        <w:t>15. Kurum cevabının tarih aralığı veya veri alanı yönünden eksik olması hâlinde, cevap yazısının tarih ve sayısı ile engellenen teknik soru gösterilerek tamamlayıcı talep sunulacaktır.</w:t>
      </w:r>
    </w:p>
    <w:p>
      <w:pPr>
        <w:keepLines/>
      </w:pPr>
      <w:r>
        <w:t>16. Kayıtların celbi reddedilirse mevcut verilerle cevaplanabilen ve cevaplanamayan teknik sorular raporda açıkça ayrılacaktır.</w:t>
      </w:r>
    </w:p>
    <w:p>
      <w:pPr>
        <w:keepNext/>
        <w:spacing w:before="70" w:after="20"/>
        <w:jc w:val="left"/>
      </w:pPr>
      <w:r>
        <w:rPr>
          <w:b/>
          <w:color w:val="000000"/>
          <w:sz w:val="20"/>
        </w:rPr>
        <w:t>SONUÇ VE İSTEM</w:t>
      </w:r>
    </w:p>
    <w:p>
      <w:pPr>
        <w:keepLines/>
      </w:pPr>
      <w:r>
        <w:t>Açıklanan nedenlerle; (1) çizelgede tekilleştirilen banka işlem zaman damgası ve referans kayıtlarının [Banka]dan, oturum, IP ve kaynak port olaylarının [Ödeme kuruluşu]ndan belirtilen tarih-saat aralığıyla istenmesine, (2) kayıt zaman dilimi, sistem saati ve mevcut doğrulama bilgilerinin kurum cevaplarında açıklanmasına, (3) elektronik eklerin resmî dosyaya alınarak bilirkişiye UYAP üzerinden güvenli inceleme erişimi verilmesine, (4) atama kararındaki [belirsiz teknik soru] yönünden Yönetmelik m. 54/2 uyarınca görev kapsamının açıklanmasına, (5) kişisel veri ve sır içeren kayıtların yalnız gerekli hesap, kullanıcı ve zaman aralığıyla sınırlı tutulmasına karar verilmesini saygıyla arz ederim. 03.10.2026</w:t>
      </w:r>
    </w:p>
    <w:p>
      <w:pPr>
        <w:keepLines/>
        <w:jc w:val="right"/>
      </w:pPr>
      <w:r>
        <w:t>Bilirkişi</w:t>
        <w:br/>
        <w:t>Elif KAYA</w:t>
        <w:br/>
        <w:t>[Sicil / uzmanlık]</w:t>
        <w:br/>
        <w:t>(E-İMZALIDIR)</w:t>
      </w:r>
    </w:p>
    <w:p>
      <w:pPr>
        <w:keepNext/>
        <w:spacing w:before="70" w:after="20"/>
        <w:jc w:val="left"/>
      </w:pPr>
      <w:r>
        <w:rPr>
          <w:b/>
          <w:color w:val="000000"/>
          <w:sz w:val="20"/>
        </w:rPr>
        <w:t>EKLER</w:t>
      </w:r>
    </w:p>
    <w:p>
      <w:pPr>
        <w:pStyle w:val="ListBullet"/>
      </w:pPr>
      <w:r>
        <w:t>Ek 1 — 28.09.2026 tarihli görevlendirme ara kararı</w:t>
      </w:r>
    </w:p>
    <w:p>
      <w:pPr>
        <w:pStyle w:val="ListBullet"/>
      </w:pPr>
      <w:r>
        <w:t>Ek 2 — 30.09.2026 tarihli UYAP erişim/görev kabul kaydı</w:t>
      </w:r>
    </w:p>
    <w:p>
      <w:pPr>
        <w:pStyle w:val="ListBullet"/>
      </w:pPr>
      <w:r>
        <w:t>Ek 3 — Mevcut materyal ve eksik kayıt çizelgesi</w:t>
      </w:r>
    </w:p>
    <w:p>
      <w:pPr>
        <w:pStyle w:val="ListBullet"/>
      </w:pPr>
      <w:r>
        <w:t>Ek 4 — Dosyada bulunan banka hesap özeti evrak numarası</w:t>
      </w:r>
    </w:p>
    <w:p>
      <w:pPr>
        <w:pStyle w:val="ListBullet"/>
      </w:pPr>
      <w:r>
        <w:t>Ek 5 — Dosyada bulunan ekran görüntüsü evrak numarası</w:t>
      </w:r>
    </w:p>
    <w:p>
      <w:pPr>
        <w:keepNext/>
        <w:spacing w:before="70" w:after="20"/>
        <w:jc w:val="left"/>
      </w:pPr>
      <w:r>
        <w:rPr>
          <w:b/>
          <w:color w:val="000000"/>
          <w:sz w:val="20"/>
        </w:rPr>
        <w:t>DOLDURMA KONTROLÜ — SUNULACAK NÜSHADAN ÇIKARIN</w:t>
      </w:r>
    </w:p>
    <w:p>
      <w:pPr>
        <w:pStyle w:val="ListBullet"/>
      </w:pPr>
      <w:r>
        <w:rPr>
          <w:i/>
        </w:rPr>
        <w:t>Mahkeme, dosya, bilirkişi, atama ve erişim tarihlerini gerçek kayıttan yazın.</w:t>
      </w:r>
    </w:p>
    <w:p>
      <w:pPr>
        <w:pStyle w:val="ListBullet"/>
      </w:pPr>
      <w:r>
        <w:rPr>
          <w:i/>
        </w:rPr>
        <w:t>Her kaydı atama kararındaki belirli teknik soruyla eşleştirin.</w:t>
      </w:r>
    </w:p>
    <w:p>
      <w:pPr>
        <w:pStyle w:val="ListBullet"/>
      </w:pPr>
      <w:r>
        <w:rPr>
          <w:i/>
        </w:rPr>
        <w:t>Kurum, hesap veya kullanıcı ve tarih-saat aralığını tekilleştirin.</w:t>
      </w:r>
    </w:p>
    <w:p>
      <w:pPr>
        <w:pStyle w:val="ListBullet"/>
      </w:pPr>
      <w:r>
        <w:rPr>
          <w:i/>
        </w:rPr>
        <w:t>Dosyada zaten bulunan belgeyi yeniden istemeyin; eksik veri alanını yazın.</w:t>
      </w:r>
    </w:p>
    <w:p>
      <w:pPr>
        <w:pStyle w:val="ListBullet"/>
      </w:pPr>
      <w:r>
        <w:rPr>
          <w:i/>
        </w:rPr>
        <w:t>Görev kapsamını genişleten hukukî soru eklemeyin.</w:t>
      </w:r>
    </w:p>
    <w:p>
      <w:pPr>
        <w:pStyle w:val="ListBullet"/>
      </w:pPr>
      <w:r>
        <w:rPr>
          <w:i/>
        </w:rPr>
        <w:t>Belge isteminin süreyi otomatik uzatmadığını gözetin.</w:t>
      </w:r>
    </w:p>
    <w:p>
      <w:pPr>
        <w:pStyle w:val="ListBullet"/>
      </w:pPr>
      <w:r>
        <w:rPr>
          <w:i/>
        </w:rPr>
        <w:t>Kişisel veri kapsamını gerekli kişi ve zaman aralığıyla sınırlayın.</w:t>
      </w:r>
    </w:p>
    <w:p>
      <w:pPr>
        <w:pStyle w:val="ListBullet"/>
      </w:pPr>
      <w:r>
        <w:rPr>
          <w:i/>
        </w:rPr>
        <w:t>Köşeli açıklamaları, öğretici bilgileri ve bu kontrol listesini nihai nüshadan çıkarın.</w:t>
      </w:r>
    </w:p>
    <w:sectPr w:rsidR="00FC693F" w:rsidRPr="0006063C" w:rsidSect="00034616">
      <w:pgSz w:w="12240" w:h="15840"/>
      <w:pgMar w:top="547" w:right="893" w:bottom="547"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5" w:line="230" w:lineRule="auto"/>
    </w:pPr>
    <w:rPr>
      <w:rFonts w:ascii="Aptos" w:hAnsi="Aptos"/>
      <w:color w:val="00000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