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30"/>
      </w:pPr>
      <w:r>
        <w:rPr>
          <w:b/>
          <w:sz w:val="21"/>
        </w:rPr>
        <w:t xml:space="preserve">[İLGİLİ VERGİ DAİRESİ MÜDÜRLÜĞÜNE]</w:t>
      </w:r>
    </w:p>
    <w:p>
      <w:pPr>
        <w:jc w:val="center"/>
        <w:spacing w:after="130"/>
      </w:pPr>
      <w:r>
        <w:rPr>
          <w:b/>
          <w:sz w:val="21"/>
        </w:rPr>
        <w:t xml:space="preserve">ÇİFTE ÖDENEN DAMGA VERGİSİ İÇİN DÜZELTME VE İADE TALEBİ</w:t>
      </w:r>
    </w:p>
    <w:p>
      <w:pPr>
        <w:spacing w:after="130"/>
      </w:pPr>
      <w:r>
        <w:rPr>
          <w:sz w:val="21"/>
        </w:rPr>
        <w:t xml:space="preserve">BAŞVURAN: [Mükellefin adı-soyadı / şirketin resmî tam unvanı]</w:t>
      </w:r>
    </w:p>
    <w:p>
      <w:pPr>
        <w:spacing w:after="130"/>
      </w:pPr>
      <w:r>
        <w:rPr>
          <w:sz w:val="21"/>
        </w:rPr>
        <w:t xml:space="preserve">T.C. KİMLİK / VERGİ NUMARASI: [Doğrulanmış gerçek numara]</w:t>
      </w:r>
    </w:p>
    <w:p>
      <w:pPr>
        <w:spacing w:after="130"/>
      </w:pPr>
      <w:r>
        <w:rPr>
          <w:sz w:val="21"/>
        </w:rPr>
        <w:t xml:space="preserve">ADRES: [Tebligata elverişli gerçek adres]</w:t>
      </w:r>
    </w:p>
    <w:p>
      <w:pPr>
        <w:spacing w:after="130"/>
      </w:pPr>
      <w:r>
        <w:rPr>
          <w:sz w:val="21"/>
        </w:rPr>
        <w:t xml:space="preserve">VEKİLİ: Av. Halil BAKIRCI [Ancak gerçek başvuruda vekâletname varsa]</w:t>
      </w:r>
    </w:p>
    <w:p>
      <w:pPr>
        <w:spacing w:after="130"/>
      </w:pPr>
      <w:r>
        <w:rPr>
          <w:sz w:val="21"/>
        </w:rPr>
        <w:t xml:space="preserve">KONU: [Tarih ve numaralı vergiye tabi belge] için birden fazla tahsilat veya tahakkuk bulunduğu iddiasıyla VUK m.116, 117, 120 ve 122 uyarınca düzeltme yapılarak fazla ödemenin iadesi/mahsubu talebidir.</w:t>
      </w:r>
    </w:p>
    <w:p>
      <w:pPr>
        <w:spacing w:after="130"/>
      </w:pPr>
      <w:r>
        <w:rPr>
          <w:b/>
          <w:sz w:val="21"/>
        </w:rPr>
        <w:t xml:space="preserve">AÇIKLAMALAR</w:t>
      </w:r>
    </w:p>
    <w:p>
      <w:pPr>
        <w:spacing w:after="130"/>
      </w:pPr>
      <w:r>
        <w:rPr>
          <w:sz w:val="21"/>
        </w:rPr>
        <w:t xml:space="preserve">1. [Gerçek belge/kağıt adı, tarihi, tarafları, ilgili vergi türü] nedeniyle [tahakkuk tarihi ve no] numaralı damga vergisi tahakkuku oluşturulmuştur. Kağıdın imzalı örneği Ek-1’de, ilgili tahakkuk fişi Ek-2’dedir.</w:t>
      </w:r>
    </w:p>
    <w:p>
      <w:pPr>
        <w:spacing w:after="130"/>
      </w:pPr>
      <w:r>
        <w:rPr>
          <w:sz w:val="21"/>
        </w:rPr>
        <w:t xml:space="preserve">2. [Gerçek tarih] tarihinde [ilk tahsilat numarası, tutar, ödeme kanalı] ile ödeme yapılmıştır. [Gerçek tarih] tarihinde ise [ikinci tahsilat numarası, tutar, ödeme kanalı] kaydı ortaya çıkmıştır. Her iki ödeme belgesi Ek-3’te gösterilmiştir.</w:t>
      </w:r>
    </w:p>
    <w:p>
      <w:pPr>
        <w:spacing w:after="130"/>
      </w:pPr>
      <w:r>
        <w:rPr>
          <w:sz w:val="21"/>
        </w:rPr>
        <w:t xml:space="preserve">3. Aynı kağıt ve vergisel işlem bakımından ikinci kaydın VUK m.117/3 anlamında aynı kanun, dönem ve matrah üzerinden mükerrer vergi oluşturup oluşturmadığının araştırılmasını talep ediyoruz. İdare kayıtlarında tek tahakkuk bulunuyorsa iki tahsilatın hesap ve muhasebe kayıtlarının karşılaştırılarak fazla/yersiz ödeme bulunup bulunmadığı incelenmelidir.</w:t>
      </w:r>
    </w:p>
    <w:p>
      <w:pPr>
        <w:spacing w:after="130"/>
      </w:pPr>
      <w:r>
        <w:rPr>
          <w:sz w:val="21"/>
        </w:rPr>
        <w:t xml:space="preserve">4. Vergi dairesi kayıtları ile banka dekontlarının karşılaştırıldığı Ek-4 çizelgesinde; kağıdın kimliği, vergilendirme dönemi, tahakkuk referansı, iki ödeme numarası, ödeme yapan kişi, tutarlar ve daha önce varsa iade/mahsup işlemleri ayrı ayrı açıklanmıştır.</w:t>
      </w:r>
    </w:p>
    <w:p>
      <w:pPr>
        <w:spacing w:after="130"/>
      </w:pPr>
      <w:r>
        <w:rPr>
          <w:sz w:val="21"/>
        </w:rPr>
        <w:t xml:space="preserve">5. [Gerçek net fazla tahsilat tutarı] için daha önce iade veya mahsup yapılmadığı [ancak idare kaydıyla doğrulanmışsa kullanılacak] ve talep sahibi sıfatımız [gerçek temsil ve ödeme belgeleri] ile gösterilmiştir. Fazla veya yersiz ödeme tespit edildiğinde VUK m.120 uyarınca düzeltme fişi düzenlenerek [nakden iade / belirli borca mahsup] işleminin yapılmasını istiyoruz.</w:t>
      </w:r>
    </w:p>
    <w:p>
      <w:pPr>
        <w:spacing w:after="130"/>
      </w:pPr>
      <w:r>
        <w:rPr>
          <w:b/>
          <w:sz w:val="21"/>
        </w:rPr>
        <w:t xml:space="preserve">HUKUKİ SEBEPLER</w:t>
      </w:r>
    </w:p>
    <w:p>
      <w:pPr>
        <w:spacing w:after="130"/>
      </w:pPr>
      <w:r>
        <w:rPr>
          <w:sz w:val="21"/>
        </w:rPr>
        <w:t xml:space="preserve">213 sayılı Vergi Usul Kanunu m.116, m.117/2-3, m.119, m.120, m.122, m.123 ve uygulanabilir m.126; 488 sayılı Damga Vergisi Kanunu’nun somut kağıda uygulanan hükümleri.</w:t>
      </w:r>
    </w:p>
    <w:p>
      <w:pPr>
        <w:spacing w:after="130"/>
      </w:pPr>
      <w:r>
        <w:rPr>
          <w:b/>
          <w:sz w:val="21"/>
        </w:rPr>
        <w:t xml:space="preserve">DELİLLER</w:t>
      </w:r>
    </w:p>
    <w:p>
      <w:pPr>
        <w:spacing w:after="130"/>
      </w:pPr>
      <w:r>
        <w:rPr>
          <w:sz w:val="21"/>
        </w:rPr>
        <w:t xml:space="preserve">Vergiye konu imzalı kağıt veya elektronik doğrulanabilir örnek; tahakkuk fişleri; iki ayrı ödeme dekontu; bankanın tahsilat referansları; vergi dairesi hesap dökümü; tahakkuk–tahsilat karşılaştırma çizelgesi; temsil ve vergi mükellefiyeti belgeleri; idarenin tüm gerçek tahsilat kayıtları.</w:t>
      </w:r>
    </w:p>
    <w:p>
      <w:pPr>
        <w:spacing w:after="130"/>
      </w:pPr>
      <w:r>
        <w:rPr>
          <w:b/>
          <w:sz w:val="21"/>
        </w:rPr>
        <w:t xml:space="preserve">SONUÇ VE TALEP</w:t>
      </w:r>
    </w:p>
    <w:p>
      <w:pPr>
        <w:spacing w:after="130"/>
      </w:pPr>
      <w:r>
        <w:rPr>
          <w:sz w:val="21"/>
        </w:rPr>
        <w:t xml:space="preserve">Açıklanan nedenlerle; (1) [belirli tarih, belge ve vergi türü] için oluşan iki tahakkuk/tahsilatın aynı kağıt, vergi kanunu, dönem ve matrah yönlerinden karşılaştırılmasına; (2) mükerrer vergilendirme veya fazla/yersiz tahsilatın VUK hükümlerine göre tespit edilmesi halinde gerekli düzeltme işlemlerinin yapılmasına; (3) iade edilmemiş net fazla tutarın [başvuran adına kayıtlı IBAN / açıkça gösterilmiş vergi borcu] için kanuni usulle nakden iadesine veya mahsubuna; (4) düzeltme kararının ve tahsilat hesabı sonucunun gerekçeli olarak tarafımıza bildirilmesine karar verilmesini arz ederiz.</w:t>
      </w:r>
    </w:p>
    <w:p>
      <w:pPr>
        <w:spacing w:after="130"/>
      </w:pPr>
      <w:r>
        <w:rPr>
          <w:sz w:val="21"/>
        </w:rPr>
        <w:t xml:space="preserve">BAŞVURU TARİHİ: [Gerçek gün/ay/yıl]</w:t>
      </w:r>
    </w:p>
    <w:p>
      <w:pPr>
        <w:spacing w:after="130"/>
      </w:pPr>
      <w:r>
        <w:rPr>
          <w:sz w:val="21"/>
        </w:rPr>
        <w:t xml:space="preserve">BAŞVURAN / VEKİLİ: [Yetkili kişi, gerçek ad soyad ve imza]</w:t>
      </w:r>
    </w:p>
    <w:p>
      <w:pPr>
        <w:spacing w:after="130"/>
      </w:pPr>
      <w:r>
        <w:rPr>
          <w:b/>
          <w:sz w:val="21"/>
        </w:rPr>
        <w:t xml:space="preserve">EKLER</w:t>
      </w:r>
    </w:p>
    <w:p>
      <w:pPr>
        <w:spacing w:after="130"/>
      </w:pPr>
      <w:r>
        <w:rPr>
          <w:sz w:val="21"/>
        </w:rPr>
        <w:t xml:space="preserve">Ek-1: Vergiye konu belge, gerçek nüsha veya doğrulanabilir kopya</w:t>
      </w:r>
    </w:p>
    <w:p>
      <w:pPr>
        <w:spacing w:after="130"/>
      </w:pPr>
      <w:r>
        <w:rPr>
          <w:sz w:val="21"/>
        </w:rPr>
        <w:t xml:space="preserve">Ek-2: Damga vergisi tahakkuk/hesap fişi veya fişleri</w:t>
      </w:r>
    </w:p>
    <w:p>
      <w:pPr>
        <w:spacing w:after="130"/>
      </w:pPr>
      <w:r>
        <w:rPr>
          <w:sz w:val="21"/>
        </w:rPr>
        <w:t xml:space="preserve">Ek-3: İlk ve ikinci ödeme dekontları, idare alındıları</w:t>
      </w:r>
    </w:p>
    <w:p>
      <w:pPr>
        <w:spacing w:after="130"/>
      </w:pPr>
      <w:r>
        <w:rPr>
          <w:sz w:val="21"/>
        </w:rPr>
        <w:t xml:space="preserve">Ek-4: Belge–tahakkuk–ödeme karşılaştırma cetveli</w:t>
      </w:r>
    </w:p>
    <w:p>
      <w:pPr>
        <w:spacing w:after="130"/>
      </w:pPr>
      <w:r>
        <w:rPr>
          <w:sz w:val="21"/>
        </w:rPr>
        <w:t xml:space="preserve">Ek-5: Varsa eski düzeltme/mahsup/iade kararları ve belgeler</w:t>
      </w:r>
    </w:p>
    <w:p>
      <w:pPr>
        <w:spacing w:after="130"/>
      </w:pPr>
      <w:r>
        <w:rPr>
          <w:sz w:val="21"/>
        </w:rPr>
        <w:t xml:space="preserve">Ek-6: Vergi yükümlülüğü, hak sahipliği, temsil/vekâlet belgeleri</w:t>
      </w:r>
    </w:p>
    <w:p>
      <w:pPr>
        <w:spacing w:after="130"/>
      </w:pPr>
      <w:r>
        <w:rPr>
          <w:b/>
          <w:sz w:val="21"/>
        </w:rPr>
        <w:t xml:space="preserve">HUKUKİ KONTROL:</w:t>
      </w:r>
    </w:p>
    <w:p>
      <w:pPr>
        <w:spacing w:after="130"/>
      </w:pPr>
      <w:r>
        <w:rPr>
          <w:sz w:val="21"/>
        </w:rPr>
        <w:t xml:space="preserve">VUK 117/3, her iki banka dekontunu doğrudan mükerrer tahakkuk saymaz; aynı kanun, matrah ve dönem koşulları gerçek kayıtlardan gösterilir. Tek tahakkuk üzerinden çift ödeme varsa muhasebe işlemi ve hak sahibi ayrı doğrulanır. Köşeli parantezler sadece gerçek evrakla doldurulur. Ret ve süre işlemleri dosyanın somut kayıtlarına göre izlenir.</w:t>
      </w:r>
    </w:p>
    <w:p>
      <w:pPr>
        <w:spacing w:after="130"/>
      </w:pPr>
      <w:r>
        <w:rPr>
          <w:sz w:val="21"/>
        </w:rPr>
        <w:t xml:space="preserve">Resmî kanun dayanağı: https://gib.gov.tr/mevzuat/kanun/434/madde/7655 ve https://gib.gov.tr/mevzuat/kanun/434/madde/7645</w:t>
      </w:r>
    </w:p>
    <w:p>
      <w:pPr>
        <w:spacing w:after="130"/>
      </w:pPr>
      <w:r>
        <w:rPr>
          <w:sz w:val="21"/>
        </w:rPr>
        <w:t xml:space="preserve">Bakırcı &amp; Keskin Hukuk Bürosu — https://halilbakirci.av.tr</w:t>
      </w:r>
    </w:p>
    <w:sectPr>
      <w:pgSz w:w="11906" w:h="16838"/>
      <w:pgMar w:top="1160" w:right="1020" w:bottom="1160" w:left="1020"/>
    </w:sectPr>
  </w:body>
</w:document>
</file>