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keepLines/>
        <w:spacing w:after="64"/>
        <w:jc w:val="center"/>
      </w:pPr>
      <w:r>
        <w:rPr>
          <w:rFonts w:ascii="Times New Roman" w:hAnsi="Times New Roman" w:eastAsia="Times New Roman"/>
          <w:b/>
          <w:sz w:val="21"/>
        </w:rPr>
        <w:t>[İTİRAZI İNCELEMEYE YETKİLİ MERCİE GÖNDERİLMEK ÜZERE</w:t>
        <w:br/>
        <w:t>KARARI VEREN HÂKİMLİĞE / MAHKEMEYE]</w:t>
      </w:r>
    </w:p>
    <w:p>
      <w:pPr>
        <w:keepLines/>
      </w:pPr>
      <w:r>
        <w:rPr>
          <w:rFonts w:ascii="Times New Roman" w:hAnsi="Times New Roman" w:eastAsia="Times New Roman"/>
          <w:b/>
        </w:rPr>
        <w:t xml:space="preserve">DOSYA NO: </w:t>
      </w:r>
      <w:r>
        <w:rPr>
          <w:rFonts w:ascii="Times New Roman" w:hAnsi="Times New Roman" w:eastAsia="Times New Roman"/>
        </w:rPr>
        <w:t>[Soruşturma / sorgu / esas numarası]</w:t>
      </w:r>
    </w:p>
    <w:p>
      <w:pPr>
        <w:keepLines/>
      </w:pPr>
      <w:r>
        <w:rPr>
          <w:rFonts w:ascii="Times New Roman" w:hAnsi="Times New Roman" w:eastAsia="Times New Roman"/>
          <w:b/>
        </w:rPr>
        <w:t xml:space="preserve">ŞÜPHELİ / SANIK: </w:t>
      </w:r>
      <w:r>
        <w:rPr>
          <w:rFonts w:ascii="Times New Roman" w:hAnsi="Times New Roman" w:eastAsia="Times New Roman"/>
        </w:rPr>
        <w:t>[Ad-soyad ve kimlik bilgisi]</w:t>
      </w:r>
    </w:p>
    <w:p>
      <w:pPr>
        <w:keepLines/>
      </w:pPr>
      <w:r>
        <w:rPr>
          <w:rFonts w:ascii="Times New Roman" w:hAnsi="Times New Roman" w:eastAsia="Times New Roman"/>
          <w:b/>
        </w:rPr>
        <w:t xml:space="preserve">MÜDAFİİ: </w:t>
      </w:r>
      <w:r>
        <w:rPr>
          <w:rFonts w:ascii="Times New Roman" w:hAnsi="Times New Roman" w:eastAsia="Times New Roman"/>
        </w:rPr>
        <w:t>[Varsa avukat adı-soyadı, baro sicili ve UETS]</w:t>
      </w:r>
    </w:p>
    <w:p>
      <w:pPr>
        <w:keepLines/>
      </w:pPr>
      <w:r>
        <w:rPr>
          <w:rFonts w:ascii="Times New Roman" w:hAnsi="Times New Roman" w:eastAsia="Times New Roman"/>
          <w:b/>
        </w:rPr>
        <w:t xml:space="preserve">KARAR: </w:t>
      </w:r>
      <w:r>
        <w:rPr>
          <w:rFonts w:ascii="Times New Roman" w:hAnsi="Times New Roman" w:eastAsia="Times New Roman"/>
        </w:rPr>
        <w:t>[Kararı veren merci, karar tarihi ve sayısı]</w:t>
      </w:r>
    </w:p>
    <w:p>
      <w:pPr>
        <w:keepLines/>
      </w:pPr>
      <w:r>
        <w:rPr>
          <w:rFonts w:ascii="Times New Roman" w:hAnsi="Times New Roman" w:eastAsia="Times New Roman"/>
          <w:b/>
        </w:rPr>
        <w:t xml:space="preserve">ÖĞRENME / TEBLİĞ TARİHİ: </w:t>
      </w:r>
      <w:r>
        <w:rPr>
          <w:rFonts w:ascii="Times New Roman" w:hAnsi="Times New Roman" w:eastAsia="Times New Roman"/>
        </w:rPr>
        <w:t>[Tarih ve bunu gösteren gerçek kayıt]</w:t>
      </w:r>
    </w:p>
    <w:p>
      <w:pPr>
        <w:keepLines/>
      </w:pPr>
      <w:r>
        <w:rPr>
          <w:rFonts w:ascii="Times New Roman" w:hAnsi="Times New Roman" w:eastAsia="Times New Roman"/>
          <w:b/>
        </w:rPr>
        <w:t xml:space="preserve">KONU: </w:t>
      </w:r>
      <w:r>
        <w:rPr>
          <w:rFonts w:ascii="Times New Roman" w:hAnsi="Times New Roman" w:eastAsia="Times New Roman"/>
        </w:rPr>
        <w:t>CMK m.113/2 gereğince güvencenin karşıladığı kısımların ayrı ayrı gösterilmesi; süresindeyse adli kontrol kararına itiraz ve kararın düzeltilmesi/tamamlanması talebidir.</w:t>
      </w:r>
    </w:p>
    <w:p>
      <w:pPr>
        <w:pStyle w:val="Heading1"/>
        <w:keepNext/>
        <w:keepLines/>
      </w:pPr>
      <w:r>
        <w:rPr>
          <w:rFonts w:ascii="Times New Roman" w:hAnsi="Times New Roman" w:eastAsia="Times New Roman"/>
        </w:rPr>
        <w:t>AÇIKLAMALAR</w:t>
      </w:r>
    </w:p>
    <w:p>
      <w:pPr>
        <w:keepLines/>
        <w:ind w:firstLine="230"/>
      </w:pPr>
      <w:r>
        <w:rPr>
          <w:rFonts w:ascii="Times New Roman" w:hAnsi="Times New Roman" w:eastAsia="Times New Roman"/>
        </w:rPr>
        <w:t>1. Yukarıda numarası yazılı dosyada [merci] tarafından [tarih ve sayı] tarihli kararla, CMK m.109/3-f kapsamında [kararda yazılı gerçek tutar] güvencenin [karardaki gerçek ödeme zamanı/taksit] koşuluyla yatırılmasına karar verilmiştir. Kararı [gerçek öğrenme veya tebliğ kaydı] tarihinde öğrendim.</w:t>
      </w:r>
    </w:p>
    <w:p>
      <w:pPr>
        <w:keepLines/>
        <w:ind w:firstLine="230"/>
      </w:pPr>
      <w:r>
        <w:rPr>
          <w:rFonts w:ascii="Times New Roman" w:hAnsi="Times New Roman" w:eastAsia="Times New Roman"/>
        </w:rPr>
        <w:t>2. Kararda toplam güvence tutarı belirtilmiş; ancak bu tutarın CMK m.113/1-a ve 113/1-b kapsamındaki hangi kısımları ne ölçüde karşıladığı ayrı ayrı gösterilmemiştir. Kararda bulunmayan oran, kalem veya pay tarafımızdan varmış gibi ileri sürülmemektedir.</w:t>
      </w:r>
    </w:p>
    <w:p>
      <w:pPr>
        <w:keepLines/>
        <w:ind w:firstLine="230"/>
      </w:pPr>
      <w:r>
        <w:rPr>
          <w:rFonts w:ascii="Times New Roman" w:hAnsi="Times New Roman" w:eastAsia="Times New Roman"/>
        </w:rPr>
        <w:t>3. CMK m.113/1-a güvenceyi, şüpheli veya sanığın bütün usul işlemlerinde, hükmün infazında ve tabi tutulduğu diğer yükümlülüklerde hazır bulunmasıyla ilişkilendirir. Aynı maddenin 1-b bendi; katılan masrafları, suç nedeniyle oluşan zararlar ve şartları varsa nafaka borçları; kamusal giderler; para cezaları şeklinde bir ödeme sırası kurar.</w:t>
      </w:r>
    </w:p>
    <w:p>
      <w:pPr>
        <w:keepLines/>
        <w:ind w:firstLine="230"/>
      </w:pPr>
      <w:r>
        <w:rPr>
          <w:rFonts w:ascii="Times New Roman" w:hAnsi="Times New Roman" w:eastAsia="Times New Roman"/>
        </w:rPr>
        <w:t>4. CMK m.113/2, güvence yatırılmasını zorunlu kılan kararda güvencenin karşıladığı kısımların ayrı ayrı gösterilmesini emreder. Bu belirleme; yükümlülüğün kapsamının anlaşılması, ödemenin doğru kayda alınması, kanun yolu denetimi ve sonradan doğabilecek geri verme veya gelir kaydetme işlemlerinin denetlenebilmesi bakımından gereklidir.</w:t>
      </w:r>
    </w:p>
    <w:p>
      <w:pPr>
        <w:keepLines/>
        <w:ind w:firstLine="230"/>
      </w:pPr>
      <w:r>
        <w:rPr>
          <w:rFonts w:ascii="Times New Roman" w:hAnsi="Times New Roman" w:eastAsia="Times New Roman"/>
        </w:rPr>
        <w:t>5. Bu nedenle usul işlemlerinde ve infazda hazır bulunma/diğer yükümlülükler kısmının; varsa katılan masrafı, zarar veya nafaka kısmının; kamusal giderler kısmının; para cezası kısmının somut dosyada uygulanıp uygulanmadığı ayrı ayrı gösterilmelidir. Uygulanan kalemler için tutar veya en azından belirlenebilir pay, uygulanmayanlar için kapsam dışında bırakıldığı karardan anlaşılmalıdır.</w:t>
      </w:r>
    </w:p>
    <w:p>
      <w:pPr>
        <w:keepLines/>
        <w:ind w:firstLine="230"/>
      </w:pPr>
      <w:r>
        <w:rPr>
          <w:rFonts w:ascii="Times New Roman" w:hAnsi="Times New Roman" w:eastAsia="Times New Roman"/>
        </w:rPr>
        <w:t>6. Kanun sabit yüzde veya standart dağılım belirlememiştir. Dosyadaki gerçek veriler incelenmeden hayalî oran talep etmiyoruz. İstenen, kararı veren mercinin somut dosyaya uygun dağılımı ve hukuki kapsamı kendisinin denetlenebilir biçimde belirlemesidir.</w:t>
      </w:r>
    </w:p>
    <w:p>
      <w:pPr>
        <w:keepLines/>
        <w:ind w:firstLine="230"/>
      </w:pPr>
      <w:r>
        <w:rPr>
          <w:rFonts w:ascii="Times New Roman" w:hAnsi="Times New Roman" w:eastAsia="Times New Roman"/>
        </w:rPr>
        <w:t>7. Başvuru, henüz doğmamış tazminat, nafaka, masraf veya para cezasının kabulü anlamına gelmez. Güvence kararı suçluluk ve nihai özel hukuk sorumluluğu hakkında kesin hüküm değildir. Talep yalnız mevcut koruma tedbiri kararının kanuni içerik koşuluna uygun hâle getirilmesidir.</w:t>
      </w:r>
    </w:p>
    <w:p>
      <w:pPr>
        <w:keepLines/>
        <w:ind w:firstLine="230"/>
      </w:pPr>
      <w:r>
        <w:rPr>
          <w:rFonts w:ascii="Times New Roman" w:hAnsi="Times New Roman" w:eastAsia="Times New Roman"/>
        </w:rPr>
        <w:t>8. Güvence miktarı ve ödeme zamanı CMK m.109/3-f kapsamında ayrı bir konudur. [Varsa: parasal durum ve ölçülülük itirazına ilişkin gerçek belgeli açıklama buraya eklenmelidir.] Bu dilekçenin temel amacı güvence kapsamının CMK m.113/2 uyarınca ayrıştırılmasıdır; kapsam eksikliği miktarın kendiliğinden kalktığı iddiasına dayanak yapılmamaktadır.</w:t>
      </w:r>
    </w:p>
    <w:p>
      <w:pPr>
        <w:keepLines/>
        <w:ind w:firstLine="230"/>
      </w:pPr>
      <w:r>
        <w:rPr>
          <w:rFonts w:ascii="Times New Roman" w:hAnsi="Times New Roman" w:eastAsia="Times New Roman"/>
        </w:rPr>
        <w:t>9. [Başvuru süresindeyse:] CMK m.111/2 ve 267-268 uyarınca adli kontrol kararına süresinde itiraz ediyoruz. Başvuru, kararın öğrenildiği tarihten itibaren iki haftalık genel süre içinde kararı veren mercie sunulmuştur. Merci itirazı yerinde görmezse dosyanın kanundaki yetkili itiraz merciine gönderilmesi gerekir.</w:t>
      </w:r>
    </w:p>
    <w:p>
      <w:pPr>
        <w:keepLines/>
        <w:ind w:firstLine="230"/>
      </w:pPr>
      <w:r>
        <w:rPr>
          <w:rFonts w:ascii="Times New Roman" w:hAnsi="Times New Roman" w:eastAsia="Times New Roman"/>
        </w:rPr>
        <w:t>10. CMK m.269 uyarınca itiraz kararın yerine getirilmesini kendiliğinden geri bırakmaz. [Somut gerekçe varsa:] Kapsam belirsizliği ve [belgeli neden] gözetilerek, inceleme sonuçlanıncaya kadar yerine getirmenin geri bırakılması ayrıca talep edilmektedir. Bu bent somut dosyada istenmiyorsa çıkarılmalıdır.</w:t>
      </w:r>
    </w:p>
    <w:p>
      <w:pPr>
        <w:keepLines/>
        <w:ind w:firstLine="230"/>
      </w:pPr>
      <w:r>
        <w:rPr>
          <w:rFonts w:ascii="Times New Roman" w:hAnsi="Times New Roman" w:eastAsia="Times New Roman"/>
        </w:rPr>
        <w:t>11. [Ödeme yapıldıysa:] [Tarih] tarihli, [dekont/kayıt numarası] belgeli ödeme yapılmış olup dekont ektedir. Ödeme yapılmış olması, kararın CMK m.113/2 yönünden açıklanması ihtiyacını ortadan kaldırmamaktadır. [Ödeme yapılmadıysa bu cümle kullanılmamalıdır.]</w:t>
      </w:r>
    </w:p>
    <w:p>
      <w:pPr>
        <w:keepLines/>
        <w:ind w:firstLine="230"/>
      </w:pPr>
      <w:r>
        <w:rPr>
          <w:rFonts w:ascii="Times New Roman" w:hAnsi="Times New Roman" w:eastAsia="Times New Roman"/>
        </w:rPr>
        <w:t>12. Dosyada katılan, suçtan doğan zarar veya nafaka bakımından [yalnız gerçek kayıt yazılmalıdır]. Olmayan bir katılma kararı, zarar miktarı veya borç varsayılmamıştır. Her bir kısmın uygulanabilirliği dosyadaki güncel kayıt üzerinden belirlenmelidir.</w:t>
      </w:r>
    </w:p>
    <w:p>
      <w:pPr>
        <w:pStyle w:val="Heading1"/>
        <w:keepNext/>
        <w:keepLines/>
      </w:pPr>
      <w:r>
        <w:rPr>
          <w:rFonts w:ascii="Times New Roman" w:hAnsi="Times New Roman" w:eastAsia="Times New Roman"/>
        </w:rPr>
        <w:t>HUKUKİ NEDENLER</w:t>
      </w:r>
    </w:p>
    <w:p>
      <w:r>
        <w:rPr>
          <w:rFonts w:ascii="Times New Roman" w:hAnsi="Times New Roman" w:eastAsia="Times New Roman"/>
        </w:rPr>
        <w:t>5271 sayılı Ceza Muhakemesi Kanunu m.109/3-f, 110, 111/2, 113, 267, 268, 269 ve somut olaya uygulanacak diğer hükümler.</w:t>
      </w:r>
    </w:p>
    <w:p>
      <w:pPr>
        <w:pStyle w:val="Heading1"/>
        <w:keepNext/>
        <w:keepLines/>
      </w:pPr>
      <w:r>
        <w:rPr>
          <w:rFonts w:ascii="Times New Roman" w:hAnsi="Times New Roman" w:eastAsia="Times New Roman"/>
        </w:rPr>
        <w:t>DELİLLER VE EKLER</w:t>
      </w:r>
    </w:p>
    <w:p>
      <w:r>
        <w:rPr>
          <w:rFonts w:ascii="Times New Roman" w:hAnsi="Times New Roman" w:eastAsia="Times New Roman"/>
        </w:rPr>
        <w:t>Ek-1 güvence ve adli kontrol kararının tam örneği; Ek-2 kararın öğrenme/tebliğ kaydı; Ek-3 varsa güvence ödeme dekontu ve dosya hesabı; Ek-4 miktar veya ödeme zamanı da tartışılıyorsa gelir, gider, bakmakla yükümlü olunan kişi ve malvarlığı belgeleri; Ek-5 dosyada gerçekten varsa katılma, zarar veya nafakaya ilişkin kayıtlar; Ek-6 müdafi sunuyorsa görevlendirme veya vekâlet kaydı.</w:t>
      </w:r>
    </w:p>
    <w:p>
      <w:pPr>
        <w:pStyle w:val="Heading1"/>
        <w:keepNext/>
        <w:keepLines/>
      </w:pPr>
      <w:r>
        <w:rPr>
          <w:rFonts w:ascii="Times New Roman" w:hAnsi="Times New Roman" w:eastAsia="Times New Roman"/>
        </w:rPr>
        <w:t>SONUÇ VE İSTEM</w:t>
      </w:r>
    </w:p>
    <w:p>
      <w:pPr>
        <w:keepLines/>
        <w:ind w:firstLine="230"/>
      </w:pPr>
      <w:r>
        <w:rPr>
          <w:rFonts w:ascii="Times New Roman" w:hAnsi="Times New Roman" w:eastAsia="Times New Roman"/>
        </w:rPr>
        <w:t>Açıklanan nedenlerle; (1) [tarih ve sayı] tarihli güvence kararında CMK m.113/2 uyarınca güvencenin karşıladığı kısımların ayrı ayrı, tutar veya belirlenebilir paylarıyla gösterilerek kararın düzeltilmesine/tamamlanmasına, (2) somut dosyada uygulanmayan kalemlerin kapsam dışında olduğunun açıkça belirtilmesine, (3) süresinde adli kontrol itirazımızın kabulüne, (4) merci itirazı yerinde görmezse dosyanın yetkili itiraz merciine CMK m.268/2 uyarınca gönderilmesine, (5) yalnız yukarıda somut gerekçesi kurulmuşsa kararın yerine getirilmesinin inceleme sonuna kadar geri bırakılmasına karar verilmesini saygıyla arz ve talep ederim. [Tarih]</w:t>
      </w:r>
    </w:p>
    <w:p>
      <w:pPr>
        <w:jc w:val="right"/>
      </w:pPr>
      <w:r>
        <w:rPr>
          <w:rFonts w:ascii="Times New Roman" w:hAnsi="Times New Roman" w:eastAsia="Times New Roman"/>
          <w:b/>
        </w:rPr>
        <w:t>[Şüpheli/Sanık veya Müdafii]</w:t>
        <w:br/>
        <w:t>[Ad-soyad]</w:t>
        <w:br/>
        <w:t>[İmza / E-imza]</w:t>
      </w:r>
    </w:p>
    <w:sectPr w:rsidR="00FC693F" w:rsidRPr="0006063C" w:rsidSect="00034616">
      <w:pgSz w:w="12240" w:h="15840"/>
      <w:pgMar w:top="691" w:right="922" w:bottom="634" w:left="92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7" w:line="235" w:lineRule="auto"/>
    </w:pPr>
    <w:rPr>
      <w:rFonts w:ascii="Times New Roman" w:hAnsi="Times New Roman" w:eastAsia="Times New Roman"/>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68" w:after="26"/>
      <w:outlineLvl w:val="0"/>
    </w:pPr>
    <w:rPr>
      <w:rFonts w:asciiTheme="majorHAnsi" w:eastAsiaTheme="majorEastAsia" w:hAnsiTheme="majorHAnsi" w:cstheme="majorBidi" w:ascii="Times New Roman" w:hAnsi="Times New Roman" w:eastAsia="Times New Roman"/>
      <w:b/>
      <w:bCs/>
      <w:color w:val="365F91" w:themeColor="accent1" w:themeShade="BF"/>
      <w:sz w:val="2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eastAsia="Times New Roman"/>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eastAsia="Times New Roman"/>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CMK 113/2 Güvence Kararında Karşılanan Kısımların Gösterilmesi Dilekçesi</dc:title>
  <dc:subject>Adli kontrol güvence kararında karşılanan kısımların ayrı ayrı gösterilmesi ve kararın düzeltilmesi</dc:subject>
  <dc:creator>Av. Halil Bakırcı</dc:creator>
  <cp:keywords>CMK 113/2, adli kontrol, güvence, kefalet, kararın düzeltilmesi, itiraz dilekçesi</cp:keywords>
  <dc:description>generated by python-docx</dc:description>
  <cp:lastModifiedBy/>
  <cp:revision>1</cp:revision>
  <dcterms:created xsi:type="dcterms:W3CDTF">2013-12-23T23:15:00Z</dcterms:created>
  <dcterms:modified xsi:type="dcterms:W3CDTF">2013-12-23T23:15:00Z</dcterms:modified>
  <cp:category/>
</cp:coreProperties>
</file>