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50"/>
        <w:jc w:val="center"/>
      </w:pPr>
      <w:r>
        <w:rPr>
          <w:rFonts w:ascii="Times New Roman" w:hAnsi="Times New Roman" w:eastAsia="Times New Roman"/>
          <w:b/>
          <w:sz w:val="21"/>
        </w:rPr>
        <w:t>[ARAMA KARARINI VEREN SULH CEZA HÂKİMLİĞİNE /</w:t>
        <w:br/>
        <w:t>İTİRAZI İNCELEMEYE YETKİLİ MERCİE GÖNDERİLMEK ÜZERE]</w:t>
      </w:r>
    </w:p>
    <w:p>
      <w:pPr>
        <w:keepLines/>
      </w:pPr>
      <w:r>
        <w:rPr>
          <w:rFonts w:ascii="Times New Roman" w:hAnsi="Times New Roman" w:eastAsia="Times New Roman"/>
          <w:b/>
        </w:rPr>
        <w:t xml:space="preserve">SORUŞTURMA / DEĞİŞİK İŞ NO: </w:t>
      </w:r>
      <w:r>
        <w:rPr>
          <w:rFonts w:ascii="Times New Roman" w:hAnsi="Times New Roman" w:eastAsia="Times New Roman"/>
        </w:rPr>
        <w:t>[Dosya ve karar numarası]</w:t>
      </w:r>
    </w:p>
    <w:p>
      <w:pPr>
        <w:keepLines/>
      </w:pPr>
      <w:r>
        <w:rPr>
          <w:rFonts w:ascii="Times New Roman" w:hAnsi="Times New Roman" w:eastAsia="Times New Roman"/>
          <w:b/>
        </w:rPr>
        <w:t xml:space="preserve">İTİRAZ EDEN ÜÇÜNCÜ KİŞİ: </w:t>
      </w:r>
      <w:r>
        <w:rPr>
          <w:rFonts w:ascii="Times New Roman" w:hAnsi="Times New Roman" w:eastAsia="Times New Roman"/>
        </w:rPr>
        <w:t>[Ad-soyad, T.C. kimlik no, adres]</w:t>
      </w:r>
    </w:p>
    <w:p>
      <w:pPr>
        <w:keepLines/>
      </w:pPr>
      <w:r>
        <w:rPr>
          <w:rFonts w:ascii="Times New Roman" w:hAnsi="Times New Roman" w:eastAsia="Times New Roman"/>
          <w:b/>
        </w:rPr>
        <w:t xml:space="preserve">VEKİLİ: </w:t>
      </w:r>
      <w:r>
        <w:rPr>
          <w:rFonts w:ascii="Times New Roman" w:hAnsi="Times New Roman" w:eastAsia="Times New Roman"/>
        </w:rPr>
        <w:t>[Varsa avukat adı-soyadı, baro sicili ve UETS]</w:t>
      </w:r>
    </w:p>
    <w:p>
      <w:pPr>
        <w:keepLines/>
      </w:pPr>
      <w:r>
        <w:rPr>
          <w:rFonts w:ascii="Times New Roman" w:hAnsi="Times New Roman" w:eastAsia="Times New Roman"/>
          <w:b/>
        </w:rPr>
        <w:t xml:space="preserve">KONU: </w:t>
      </w:r>
      <w:r>
        <w:rPr>
          <w:rFonts w:ascii="Times New Roman" w:hAnsi="Times New Roman" w:eastAsia="Times New Roman"/>
        </w:rPr>
        <w:t>CMK m.117/2’de aranan, kişinin veya suç delilinin belirtilen yerde bulunduğunu kabul etmeye elverişli olaylar gösterilmeden verilen [tarih ve sayı] tarihli arama kararının kaldırılması; işlem yapılmışsa hukuka aykırılık iddiasının ve delil taleplerinin dosyaya kaydı istemidir.</w:t>
      </w:r>
    </w:p>
    <w:p>
      <w:pPr>
        <w:pStyle w:val="Heading1"/>
        <w:keepNext/>
        <w:keepLines/>
      </w:pPr>
      <w:r>
        <w:rPr>
          <w:rFonts w:ascii="Times New Roman" w:hAnsi="Times New Roman" w:eastAsia="Times New Roman"/>
        </w:rPr>
        <w:t>AÇIKLAMALAR</w:t>
      </w:r>
    </w:p>
    <w:p>
      <w:pPr>
        <w:keepLines/>
        <w:ind w:firstLine="202"/>
      </w:pPr>
      <w:r>
        <w:rPr>
          <w:rFonts w:ascii="Times New Roman" w:hAnsi="Times New Roman" w:eastAsia="Times New Roman"/>
        </w:rPr>
        <w:t>1. İtiraza konu karar, şüpheli veya sanık olmayan üçüncü kişi sıfatıyla kullandığım [konut/işyeri/eşya/diğer yerin açık adresi ve aidiyet kaydı] hakkında verilmiştir. Kararı [öğrenme tarihi ve biçimi] tarihinde öğrendim. Karar, tebliğ/öğrenme belgesi ve varsa arama tutanağı ektedir. Süre hesabında gerçek öğrenme tarihi esas alınmıştır.</w:t>
      </w:r>
    </w:p>
    <w:p>
      <w:pPr>
        <w:keepLines/>
        <w:ind w:firstLine="202"/>
      </w:pPr>
      <w:r>
        <w:rPr>
          <w:rFonts w:ascii="Times New Roman" w:hAnsi="Times New Roman" w:eastAsia="Times New Roman"/>
        </w:rPr>
        <w:t>2. CMK m.117/1, şüpheli veya sanığın yakalanması ya da suç delilinin elde edilmesi amacıyla diğer bir kişinin üstü, eşyası, konutu, işyeri veya diğer yerinin aranabilmesine imkân verir. Ancak m.117/2, bu aramayı; aranılan kişinin veya suç delilinin belirtilen yerde bulunduğunu kabul etmeye olanak sağlayan olayların varlığına bağlar. Üçüncü kişiyle şüpheli arasındaki salt yakınlık, tanışıklık, komşuluk, aynı soyadı veya soyut ihbar tek başına bu bağlantıyı kurmaz.</w:t>
      </w:r>
    </w:p>
    <w:p>
      <w:pPr>
        <w:keepLines/>
        <w:ind w:firstLine="202"/>
      </w:pPr>
      <w:r>
        <w:rPr>
          <w:rFonts w:ascii="Times New Roman" w:hAnsi="Times New Roman" w:eastAsia="Times New Roman"/>
        </w:rPr>
        <w:t>3. Somut kararda [karardaki gerçek gerekçe aynen ve kısa biçimde yazılmalıdır]. Bu açıklama, aranılan [kişi/delil] ile [adres/eşya] arasında zaman, yer ve olay bağı kurmamaktadır. [Kamera, takip, iletişim, teslim, giriş-çıkış veya başka kayıt varsa gerçek içeriği yazılmalı; yoksa bulunmadığı belirtilmelidir.] Bu nedenle CMK m.117/2’deki özel koşulun hangi denetlenebilir olayla karşılandığı karardan anlaşılamamaktadır.</w:t>
      </w:r>
    </w:p>
    <w:p>
      <w:pPr>
        <w:keepLines/>
        <w:ind w:firstLine="202"/>
      </w:pPr>
      <w:r>
        <w:rPr>
          <w:rFonts w:ascii="Times New Roman" w:hAnsi="Times New Roman" w:eastAsia="Times New Roman"/>
        </w:rPr>
        <w:t>4. CMK m.117/3, m.117/2’deki sınırlamanın şüpheli veya sanığın bulunduğu yerler ile izlendiği sırada girdiği yerler hakkında uygulanmayacağını düzenler. Somut olayda [şüphelinin yerde fiilen bulunduğuna veya takip sırasında girdiğine ilişkin gerçek kayıt yoktur / varsa kayıt ve zamanı yazılmalıdır]. Üçüncü fıkra istisnası, yalnız varsayımla veya arama sonrasında bulunan eşya üzerinden geriye dönük kurulamaz.</w:t>
      </w:r>
    </w:p>
    <w:p>
      <w:pPr>
        <w:keepLines/>
        <w:ind w:firstLine="202"/>
      </w:pPr>
      <w:r>
        <w:rPr>
          <w:rFonts w:ascii="Times New Roman" w:hAnsi="Times New Roman" w:eastAsia="Times New Roman"/>
        </w:rPr>
        <w:t>5. CMK m.119/1 uyarınca konut, işyeri ve kamuya açık olmayan kapalı alanlarda arama hâkim kararıyla; gecikmesinde sakınca bulunan hâllerde Cumhuriyet savcısının yazılı emriyle yapılabilir. Kolluk amirinin yazılı emri bu alanlar için yeterli değildir. Karar veya emirde fiil, aranacak kişi ya da açık yer/adres/eşya ve geçerlilik süresi CMK m.119/2 uyarınca ayrı ayrı gösterilmelidir. [Somut karardaki makam, adres, eşya ve süre eksikleri varsa yazılmalıdır.]</w:t>
      </w:r>
    </w:p>
    <w:p>
      <w:pPr>
        <w:keepLines/>
        <w:ind w:firstLine="202"/>
      </w:pPr>
      <w:r>
        <w:rPr>
          <w:rFonts w:ascii="Times New Roman" w:hAnsi="Times New Roman" w:eastAsia="Times New Roman"/>
        </w:rPr>
        <w:t>6. İşlem henüz yapılmadıysa kararın kaldırılması ve CMK m.269/2 uyarınca yerine getirmenin geri bırakılması istenmektedir. İtirazın kendiliğinden uygulamayı durdurmadığı bilinerek ayrı durdurma talebi kurulmuştur. Arama yapılmışsa geriye dönük durdurma mümkün değildir; bu durumda karar, emir, talep yazısı, dayanak tutanaklar, kamera kayıtları ve arama/el koyma tutanaklarının dosyaya alınması; hukuka aykırılık iddiasının korunması istenmektedir.</w:t>
      </w:r>
    </w:p>
    <w:p>
      <w:pPr>
        <w:keepLines/>
        <w:ind w:firstLine="202"/>
      </w:pPr>
      <w:r>
        <w:rPr>
          <w:rFonts w:ascii="Times New Roman" w:hAnsi="Times New Roman" w:eastAsia="Times New Roman"/>
        </w:rPr>
        <w:t>7. Arama yapılmış ise CMK m.120/2 gereği arama başlamadan önce amaç hakkında bilgi verilip verilmediği; m.120/3 gereği avukatın hazır bulunmasına engel olunup olunmadığı; Cumhuriyet savcısı hazır değilse m.119/4’teki iki kişinin bulunup bulunmadığı; m.121 belgeleri ile elkonulan eşya listesinin verilip verilmediği somut kayıtlarla denetlenmelidir. İşlem sonucunun varlığı, başlangıçtaki CMK m.117/2 eksikliğini kendiliğinden gidermez.</w:t>
      </w:r>
    </w:p>
    <w:p>
      <w:pPr>
        <w:pStyle w:val="Heading1"/>
        <w:keepNext/>
        <w:keepLines/>
      </w:pPr>
      <w:r>
        <w:rPr>
          <w:rFonts w:ascii="Times New Roman" w:hAnsi="Times New Roman" w:eastAsia="Times New Roman"/>
        </w:rPr>
        <w:t>HUKUKİ NEDENLER</w:t>
      </w:r>
    </w:p>
    <w:p>
      <w:r>
        <w:rPr>
          <w:rFonts w:ascii="Times New Roman" w:hAnsi="Times New Roman" w:eastAsia="Times New Roman"/>
        </w:rPr>
        <w:t>Anayasa m.20, 21 ve 38/6; 5271 sayılı CMK m.34, 116, 117, 119, 120, 121, 206/2-a, 217/2, 267-270 ve somut olaya uygulanacak diğer hükümler.</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arama kararı veya yazılı emir; Ek-2 öğrenme/tebliğ kaydı; Ek-3 adres, tapu, kira, işyeri veya zilyetlik belgesi; Ek-4 şüpheliyle ilişkiyi ve olay tarihlerini gösteren doğrulanabilir kayıtlar; Ek-5 arama talep yazısı ve dayanak tutanaklar (dosyadan getirtilmesi talep olunur); Ek-6 arama ve el koyma tutanakları ile eşya listesi; Ek-7 olay yeri/kolluk kamera kayıtları; Ek-8 tanık ve hazır bulunan kişi bilgileri; Ek-9 vekâletname.</w:t>
      </w:r>
    </w:p>
    <w:p>
      <w:pPr>
        <w:pStyle w:val="Heading1"/>
        <w:keepNext/>
        <w:keepLines/>
      </w:pPr>
      <w:r>
        <w:rPr>
          <w:rFonts w:ascii="Times New Roman" w:hAnsi="Times New Roman" w:eastAsia="Times New Roman"/>
        </w:rPr>
        <w:t>SONUÇ VE İSTEM</w:t>
      </w:r>
    </w:p>
    <w:p>
      <w:pPr>
        <w:keepLines/>
        <w:ind w:firstLine="202"/>
      </w:pPr>
      <w:r>
        <w:rPr>
          <w:rFonts w:ascii="Times New Roman" w:hAnsi="Times New Roman" w:eastAsia="Times New Roman"/>
        </w:rPr>
        <w:t>Açıklanan nedenlerle; (1) CMK m.117/2’de aranan özel bağlantıyı gösteren olaylar somutlaştırılmadığından [tarih ve sayı] tarihli arama kararının kaldırılmasına, (2) işlem yapılmadıysa CMK m.269/2 uyarınca kararın yerine getirilmesinin geri bırakılmasına, (3) CMK m.117/3 istisnasına dayanılıyorsa şüphelinin yerde bulunduğu veya takip sırasında girdiği iddiasının zaman ve kayıtlarıyla gösterilmesine, (4) karar/emrin CMK m.119’daki makam, adres/eşya ve süre koşulları yönünden denetlenmesine, (5) işlem yapılmışsa kararın dayanağı olan bütün kayıtlarla arama/el koyma tutanaklarının dosyaya alınmasına ve hukuka aykırılık iddiamın saklı tutulmasına, (6) CMK m.120-121 kapsamındaki bilgilendirme ve belge taleplerimin karşılanmasına karar verilmesini saygıyla arz ve talep ederim. [Tarih]</w:t>
      </w:r>
    </w:p>
    <w:p>
      <w:pPr>
        <w:jc w:val="right"/>
      </w:pPr>
      <w:r>
        <w:rPr>
          <w:rFonts w:ascii="Times New Roman" w:hAnsi="Times New Roman" w:eastAsia="Times New Roman"/>
          <w:b/>
        </w:rPr>
        <w:t>[Üçüncü kişi veya vekili]</w:t>
        <w:br/>
        <w:t>[Ad-soyad]</w:t>
        <w:br/>
        <w:t>[İmza / E-imza]</w:t>
      </w:r>
    </w:p>
    <w:sectPr w:rsidR="00FC693F" w:rsidRPr="0006063C" w:rsidSect="00034616">
      <w:pgSz w:w="12240" w:h="15840"/>
      <w:pgMar w:top="691" w:right="950" w:bottom="648"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23" w:lineRule="auto"/>
    </w:pPr>
    <w:rPr>
      <w:rFonts w:ascii="Times New Roman" w:hAnsi="Times New Roman" w:eastAsia="Times New Roman"/>
      <w:color w:val="000000"/>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0" w:after="20"/>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117/2 Üçüncü Kişinin Konutunda Arama Kararına İtiraz Dilekçesi</dc:title>
  <dc:subject>Üçüncü kişinin yerinde arama için olayların somutlaştırılması ve arama kararına itiraz</dc:subject>
  <dc:creator>Av. Halil Bakırcı</dc:creator>
  <cp:keywords>CMK 117/2, üçüncü kişinin konutunda arama, arama kararına itiraz, arama kararı</cp:keywords>
  <dc:description>generated by python-docx</dc:description>
  <cp:lastModifiedBy/>
  <cp:revision>1</cp:revision>
  <dcterms:created xsi:type="dcterms:W3CDTF">2013-12-23T23:15:00Z</dcterms:created>
  <dcterms:modified xsi:type="dcterms:W3CDTF">2013-12-23T23:15:00Z</dcterms:modified>
  <cp:category/>
</cp:coreProperties>
</file>