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70"/>
        <w:jc w:val="center"/>
      </w:pPr>
      <w:r>
        <w:rPr>
          <w:rFonts w:ascii="Times New Roman" w:hAnsi="Times New Roman" w:eastAsia="Times New Roman"/>
          <w:b/>
          <w:sz w:val="22"/>
        </w:rPr>
        <w:t>[KARARI VEREN SULH CEZA HÂKİMLİĞİNE / CEZA MAHKEMESİNE]</w:t>
        <w:br/>
        <w:t>[İTİRAZ İNCELEME MERCİİNE GÖNDERİLMEK ÜZERE]</w:t>
      </w:r>
    </w:p>
    <w:p>
      <w:pPr>
        <w:keepLines/>
      </w:pPr>
      <w:r>
        <w:rPr>
          <w:rFonts w:ascii="Times New Roman" w:hAnsi="Times New Roman" w:eastAsia="Times New Roman"/>
          <w:b/>
        </w:rPr>
        <w:t xml:space="preserve">DOSYA / DEĞİŞİK İŞ NO: </w:t>
      </w:r>
      <w:r>
        <w:rPr>
          <w:rFonts w:ascii="Times New Roman" w:hAnsi="Times New Roman" w:eastAsia="Times New Roman"/>
        </w:rPr>
        <w:t>[Soruşturma, değişik iş veya esas numarası]</w:t>
      </w:r>
    </w:p>
    <w:p>
      <w:pPr>
        <w:keepLines/>
      </w:pPr>
      <w:r>
        <w:rPr>
          <w:rFonts w:ascii="Times New Roman" w:hAnsi="Times New Roman" w:eastAsia="Times New Roman"/>
          <w:b/>
        </w:rPr>
        <w:t xml:space="preserve">İTİRAZ EDEN: </w:t>
      </w:r>
      <w:r>
        <w:rPr>
          <w:rFonts w:ascii="Times New Roman" w:hAnsi="Times New Roman" w:eastAsia="Times New Roman"/>
        </w:rPr>
        <w:t>[Ad-soyad, T.C. kimlik no ve adres]</w:t>
      </w:r>
    </w:p>
    <w:p>
      <w:pPr>
        <w:keepLines/>
      </w:pPr>
      <w:r>
        <w:rPr>
          <w:rFonts w:ascii="Times New Roman" w:hAnsi="Times New Roman" w:eastAsia="Times New Roman"/>
          <w:b/>
        </w:rPr>
        <w:t xml:space="preserve">SIFATI: </w:t>
      </w:r>
      <w:r>
        <w:rPr>
          <w:rFonts w:ascii="Times New Roman" w:hAnsi="Times New Roman" w:eastAsia="Times New Roman"/>
        </w:rPr>
        <w:t>[Şüpheli / sanık / CMK 45 kapsamındaki yakın / CMK 46 kapsamındaki meslek mensubu]</w:t>
      </w:r>
    </w:p>
    <w:p>
      <w:pPr>
        <w:keepLines/>
      </w:pPr>
      <w:r>
        <w:rPr>
          <w:rFonts w:ascii="Times New Roman" w:hAnsi="Times New Roman" w:eastAsia="Times New Roman"/>
          <w:b/>
        </w:rPr>
        <w:t xml:space="preserve">MÜDAFİ / VEKİL: </w:t>
      </w:r>
      <w:r>
        <w:rPr>
          <w:rFonts w:ascii="Times New Roman" w:hAnsi="Times New Roman" w:eastAsia="Times New Roman"/>
        </w:rPr>
        <w:t>[Varsa ad-soyad, baro ve sicil numarası]</w:t>
      </w:r>
    </w:p>
    <w:p>
      <w:pPr>
        <w:keepLines/>
      </w:pPr>
      <w:r>
        <w:rPr>
          <w:rFonts w:ascii="Times New Roman" w:hAnsi="Times New Roman" w:eastAsia="Times New Roman"/>
          <w:b/>
        </w:rPr>
        <w:t xml:space="preserve">KARAR: </w:t>
      </w:r>
      <w:r>
        <w:rPr>
          <w:rFonts w:ascii="Times New Roman" w:hAnsi="Times New Roman" w:eastAsia="Times New Roman"/>
        </w:rPr>
        <w:t>[Tarih ve numaralı disiplin hapsi kararı]</w:t>
      </w:r>
    </w:p>
    <w:p>
      <w:pPr>
        <w:keepLines/>
      </w:pPr>
      <w:r>
        <w:rPr>
          <w:rFonts w:ascii="Times New Roman" w:hAnsi="Times New Roman" w:eastAsia="Times New Roman"/>
          <w:b/>
        </w:rPr>
        <w:t xml:space="preserve">KONU: </w:t>
      </w:r>
      <w:r>
        <w:rPr>
          <w:rFonts w:ascii="Times New Roman" w:hAnsi="Times New Roman" w:eastAsia="Times New Roman"/>
        </w:rPr>
        <w:t>CMK m.124/2’deki istisna ile CMK m.60 hükümleri uyarınca disiplin hapsi kararının kaldırılması; infazın geri bırakılması ve derhâl salıverilme istemidir.</w:t>
      </w:r>
    </w:p>
    <w:p>
      <w:pPr>
        <w:pStyle w:val="Heading1"/>
        <w:keepNext/>
        <w:keepLines/>
      </w:pPr>
      <w:r>
        <w:rPr>
          <w:rFonts w:ascii="Times New Roman" w:hAnsi="Times New Roman" w:eastAsia="Times New Roman"/>
        </w:rPr>
        <w:t>AÇIKLAMALAR</w:t>
      </w:r>
    </w:p>
    <w:p>
      <w:pPr>
        <w:keepLines/>
        <w:ind w:firstLine="216"/>
      </w:pPr>
      <w:r>
        <w:rPr>
          <w:rFonts w:ascii="Times New Roman" w:hAnsi="Times New Roman" w:eastAsia="Times New Roman"/>
        </w:rPr>
        <w:t>1. [Tarih ve saat] tarihinde [talebi yapan makam/görevli], [eşya veya malvarlığı değerinin marka, model, seri numarası, belge adı, hesap veya kayıt bilgisi] için gösterme ve teslim isteminde bulunmuştur. İstem yazısı/tutanağı ile tebliğ veya öğrenme kaydı ektedir. Talebin kapsamı ve itiraz edenin beyanı, dosyadaki gerçek tutanak esas alınarak değerlendirilmelidir.</w:t>
      </w:r>
    </w:p>
    <w:p>
      <w:pPr>
        <w:keepLines/>
        <w:ind w:firstLine="216"/>
      </w:pPr>
      <w:r>
        <w:rPr>
          <w:rFonts w:ascii="Times New Roman" w:hAnsi="Times New Roman" w:eastAsia="Times New Roman"/>
        </w:rPr>
        <w:t>2. İtiraz eden, işlem tarihinde [şüpheli/sanık] sıfatındadır / şüpheli veya sanık [ad-soyad]ın CMK m.45/1-[bent] kapsamında [açık yakınlık bağı]dır / CMK m.46/1-[bent] kapsamında [meslek ve hizmet ilişkisi] nedeniyle tanıklıktan çekinebilecek kişidir. Bu sıfat [ifade/sorgu tutanağı, iddianame, nüfus kaydı, evlilik-evlât edinme kaydı, görevlendirme, vekâlet, hasta veya hizmet kaydı] ile doğrulanmaktadır.</w:t>
      </w:r>
    </w:p>
    <w:p>
      <w:pPr>
        <w:keepLines/>
        <w:ind w:firstLine="216"/>
      </w:pPr>
      <w:r>
        <w:rPr>
          <w:rFonts w:ascii="Times New Roman" w:hAnsi="Times New Roman" w:eastAsia="Times New Roman"/>
        </w:rPr>
        <w:t>3. CMK m.124/1, CMK m.123 kapsamındaki eşya veya diğer malvarlığı değerlerini yanında bulunduran kişinin istem üzerine bunları gösterme ve teslim etme yükümlülüğünü düzenler. Aynı maddenin ikinci fıkrası, kaçınma hâlinde CMK m.60’taki disiplin hapsi hükümlerine gönderme yapmakla birlikte; şüpheli, sanık veya tanıklıktan çekinebilecek kişiler hakkında bu yaptırımın uygulanamayacağını açıkça emreder.</w:t>
      </w:r>
    </w:p>
    <w:p>
      <w:pPr>
        <w:keepLines/>
        <w:ind w:firstLine="216"/>
      </w:pPr>
      <w:r>
        <w:rPr>
          <w:rFonts w:ascii="Times New Roman" w:hAnsi="Times New Roman" w:eastAsia="Times New Roman"/>
        </w:rPr>
        <w:t>4. Disiplin hapsi kararı [itiraz edenin yukarıdaki sıfatı incelenmeden / CMK m.124/2 istisnası hakkında gerekçe kurulmadan / çekinme sıfatını gösteren ekler değerlendirilmeden] verilmiştir. CMK m.60/4 disiplin hapsi kararına itiraz edilebileceğini düzenler. Bu dilekçe, kararın [yüzüne karşı açıklanma/tebliğ/öğrenme] tarihi olan [tarih] esas alınarak sunulmaktadır.</w:t>
      </w:r>
    </w:p>
    <w:p>
      <w:pPr>
        <w:keepLines/>
        <w:ind w:firstLine="216"/>
      </w:pPr>
      <w:r>
        <w:rPr>
          <w:rFonts w:ascii="Times New Roman" w:hAnsi="Times New Roman" w:eastAsia="Times New Roman"/>
        </w:rPr>
        <w:t>5. CMK m.124/2 istisnası, eşyanın her durumda delil olamayacağı veya kanuni koşulları bulunan ayrı bir elkoyma işleminin yapılamayacağı anlamına gelmez. İtirazın konusu, kişiyi gösterme veya teslim davranışına zorlamak için disiplin hapsi uygulanmasıdır. Eşyanın hukuki niteliği ve olası elkoyma işlemi, ilgili karar ve koruma tedbiri hükümlerine göre ayrıca değerlendirilmelidir.</w:t>
      </w:r>
    </w:p>
    <w:p>
      <w:pPr>
        <w:keepLines/>
        <w:ind w:firstLine="216"/>
      </w:pPr>
      <w:r>
        <w:rPr>
          <w:rFonts w:ascii="Times New Roman" w:hAnsi="Times New Roman" w:eastAsia="Times New Roman"/>
        </w:rPr>
        <w:t>6. İtiraz eden, delil gizleme, yok etme veya değiştirme amacı taşıdığı yönünde dosyada bulunmayan bir olguyu kabul etmemektedir. [Varsa: İstenen eşyanın mevcut olmadığı, itiraz edenin fiilî hâkimiyetinde bulunmadığı, zaten teslim edildiği veya teslim edilemeyecek biçimde tanımlandığı] hususu [somut kayıt] ile açıklanmıştır. Bu olgu, CMK m.124/2 istisnasından bağımsız olarak da kararın maddi temelinin denetlenmesini gerektirir.</w:t>
      </w:r>
    </w:p>
    <w:p>
      <w:pPr>
        <w:keepLines/>
        <w:ind w:firstLine="216"/>
      </w:pPr>
      <w:r>
        <w:rPr>
          <w:rFonts w:ascii="Times New Roman" w:hAnsi="Times New Roman" w:eastAsia="Times New Roman"/>
        </w:rPr>
        <w:t>7. CMK m.269/1 uyarınca itiraz kararın yerine getirilmesini kendiliğinden geri bırakmaz. Özgürlüğü sınırlayan yaptırımın infazı hâlinde doğacak sonuçlar ve CMK m.124/2’deki açık istisna dikkate alınarak, inceleme sonuçlanıncaya kadar infazın CMK m.269/2 uyarınca geri bırakılması gerekmektedir.</w:t>
      </w:r>
    </w:p>
    <w:p>
      <w:pPr>
        <w:keepLines/>
        <w:ind w:firstLine="216"/>
      </w:pPr>
      <w:r>
        <w:rPr>
          <w:rFonts w:ascii="Times New Roman" w:hAnsi="Times New Roman" w:eastAsia="Times New Roman"/>
        </w:rPr>
        <w:t>8. Mahkemece istisnanın uygulanmadığı düşünülürse dahi, CMK m.60/1 uyarınca kişinin yükümlülüğüne uygun davrandığı gerçek kayıtla sabitse derhâl serbest bırakılma sonucu ayrıca değerlendirilmelidir. Bu alternatif istem, itiraz edenin CMK m.124/2 kapsamındaki temel itirazından vazgeçtiği anlamına gelmez.</w:t>
      </w:r>
    </w:p>
    <w:p>
      <w:pPr>
        <w:pStyle w:val="Heading1"/>
        <w:keepNext/>
        <w:keepLines/>
      </w:pPr>
      <w:r>
        <w:rPr>
          <w:rFonts w:ascii="Times New Roman" w:hAnsi="Times New Roman" w:eastAsia="Times New Roman"/>
        </w:rPr>
        <w:t>HUKUKİ NEDENLER</w:t>
      </w:r>
    </w:p>
    <w:p>
      <w:r>
        <w:rPr>
          <w:rFonts w:ascii="Times New Roman" w:hAnsi="Times New Roman" w:eastAsia="Times New Roman"/>
        </w:rPr>
        <w:t>Türkiye Cumhuriyeti Anayasası m.19, 36 ve 38/5; 5271 sayılı Ceza Muhakemesi Kanunu m.2/1-l, 45, 46, 49, 60, 123, 124, 267-271 ve somut olaya uygulanacak diğer hükümler.</w:t>
      </w:r>
    </w:p>
    <w:p>
      <w:pPr>
        <w:pStyle w:val="Heading1"/>
        <w:keepNext/>
        <w:keepLines/>
      </w:pPr>
      <w:r>
        <w:rPr>
          <w:rFonts w:ascii="Times New Roman" w:hAnsi="Times New Roman" w:eastAsia="Times New Roman"/>
        </w:rPr>
        <w:t>DELİLLER VE EKLER</w:t>
      </w:r>
    </w:p>
    <w:p>
      <w:r>
        <w:rPr>
          <w:rFonts w:ascii="Times New Roman" w:hAnsi="Times New Roman" w:eastAsia="Times New Roman"/>
        </w:rPr>
        <w:t>Ek-1 gösterme/teslim istemi, emir veya tutanak; Ek-2 tebliğ/öğrenme kaydı; Ek-3 disiplin hapsi kararı; Ek-4 şüpheli veya sanık sıfatını gösteren kayıt ya da CMK m.45 yakınlık belgesi; Ek-5 CMK m.46 meslek ve hizmet ilişkisi kaydı; Ek-6 eşyanın kimliği, zilyetliği, mevcut olup olmadığı veya teslim durumuna ilişkin belgeler; Ek-7 önceki beyan ve tutanaklar; Ek-8 varsa infaz kaydı ve diğer gerçek dosya belgeleri.</w:t>
      </w:r>
    </w:p>
    <w:p>
      <w:pPr>
        <w:pStyle w:val="Heading1"/>
        <w:keepNext/>
        <w:keepLines/>
      </w:pPr>
      <w:r>
        <w:rPr>
          <w:rFonts w:ascii="Times New Roman" w:hAnsi="Times New Roman" w:eastAsia="Times New Roman"/>
        </w:rPr>
        <w:t>SONUÇ VE İSTEM</w:t>
      </w:r>
    </w:p>
    <w:p>
      <w:pPr>
        <w:keepLines/>
        <w:ind w:firstLine="216"/>
      </w:pPr>
      <w:r>
        <w:rPr>
          <w:rFonts w:ascii="Times New Roman" w:hAnsi="Times New Roman" w:eastAsia="Times New Roman"/>
        </w:rPr>
        <w:t>Açıklanan nedenlerle; (1) itiraz incelemesi sonuçlanıncaya kadar [tarih ve numaralı] disiplin hapsi kararının infazının CMK m.269/2 uyarınca geri bırakılmasına, (2) itiraz edenin CMK m.124/2 kapsamında [şüpheli/sanık/tanıklıktan çekinebilecek kişi] olduğunun dosya kayıtlarıyla tespitine, (3) CMK m.60’a yapılan gönderme üzerinden verilen disiplin hapsi kararının kaldırılmasına, (4) karar infaza başlanmışsa derhâl salıverilmesine ve ilgili infaz birimine gecikmeksizin müzekkere yazılmasına, (5) aksi kanaatte olunursa eşyanın zilyetliği, teslim isteminin kapsamı ve [varsa teslim/uyum] kaydı incelenerek CMK m.60/1’deki derhâl serbest bırakma sonucunun değerlendirilmesine karar verilmesini saygıyla arz ve talep ederim. [Tarih]</w:t>
      </w:r>
    </w:p>
    <w:p>
      <w:pPr>
        <w:keepLines/>
        <w:jc w:val="right"/>
      </w:pPr>
      <w:r>
        <w:rPr>
          <w:rFonts w:ascii="Times New Roman" w:hAnsi="Times New Roman" w:eastAsia="Times New Roman"/>
          <w:b/>
        </w:rPr>
        <w:t>[İtiraz eden / müdafi]</w:t>
        <w:br/>
        <w:t>[Ad-soyad]</w:t>
        <w:br/>
        <w:t>[İmza / E-imza]</w:t>
      </w:r>
    </w:p>
    <w:sectPr w:rsidR="00FC693F" w:rsidRPr="0006063C" w:rsidSect="00034616">
      <w:pgSz w:w="12240" w:h="15840"/>
      <w:pgMar w:top="778" w:right="1008" w:bottom="749"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35" w:lineRule="auto"/>
    </w:pPr>
    <w:rPr>
      <w:rFonts w:ascii="Times New Roman" w:hAnsi="Times New Roman" w:eastAsia="Times New Roman"/>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90" w:after="36"/>
      <w:outlineLvl w:val="0"/>
    </w:pPr>
    <w:rPr>
      <w:rFonts w:asciiTheme="majorHAnsi" w:eastAsiaTheme="majorEastAsia" w:hAnsiTheme="majorHAnsi" w:cstheme="majorBidi" w:ascii="Times New Roman" w:hAnsi="Times New Roman" w:eastAsia="Times New Roman"/>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124 Eşya Teslim Etmeme Nedeniyle Disiplin Hapsine İtiraz Dilekçesi</dc:title>
  <dc:subject>Şüpheli, sanık veya tanıklıktan çekinebilecek kişinin CMK 124/2 istisnasına dayalı disiplin hapsi itirazı</dc:subject>
  <dc:creator>Av. Halil Bakırcı</dc:creator>
  <cp:keywords>CMK 124, disiplin hapsi itirazı, eşya teslimi, tanıklıktan çekinme</cp:keywords>
  <dc:description>generated by python-docx</dc:description>
  <cp:lastModifiedBy/>
  <cp:revision>1</cp:revision>
  <dcterms:created xsi:type="dcterms:W3CDTF">2013-12-23T23:15:00Z</dcterms:created>
  <dcterms:modified xsi:type="dcterms:W3CDTF">2013-12-23T23:15:00Z</dcterms:modified>
  <cp:category/>
</cp:coreProperties>
</file>