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44"/>
        <w:jc w:val="center"/>
      </w:pPr>
      <w:r>
        <w:rPr>
          <w:rFonts w:ascii="Times New Roman" w:hAnsi="Times New Roman" w:eastAsia="Times New Roman"/>
          <w:b/>
          <w:sz w:val="21"/>
        </w:rPr>
        <w:t>[ZARARA UĞRAYANIN OTURDUĞU YER]</w:t>
        <w:br/>
        <w:t>NÖBETÇİ AĞIR CEZA MAHKEMESİNE</w:t>
      </w:r>
    </w:p>
    <w:p>
      <w:pPr>
        <w:keepLines/>
      </w:pPr>
      <w:r>
        <w:rPr>
          <w:rFonts w:ascii="Times New Roman" w:hAnsi="Times New Roman" w:eastAsia="Times New Roman"/>
          <w:b/>
        </w:rPr>
        <w:t xml:space="preserve">İSTEMDE BULUNAN: </w:t>
      </w:r>
      <w:r>
        <w:rPr>
          <w:rFonts w:ascii="Times New Roman" w:hAnsi="Times New Roman" w:eastAsia="Times New Roman"/>
        </w:rPr>
        <w:t>[Şirket / doğrudan zarar gören kişi; sicil, kimlik ve adres]</w:t>
      </w:r>
    </w:p>
    <w:p>
      <w:pPr>
        <w:keepLines/>
      </w:pPr>
      <w:r>
        <w:rPr>
          <w:rFonts w:ascii="Times New Roman" w:hAnsi="Times New Roman" w:eastAsia="Times New Roman"/>
          <w:b/>
        </w:rPr>
        <w:t xml:space="preserve">VEKİLİ: </w:t>
      </w:r>
      <w:r>
        <w:rPr>
          <w:rFonts w:ascii="Times New Roman" w:hAnsi="Times New Roman" w:eastAsia="Times New Roman"/>
        </w:rPr>
        <w:t>[Ad-soyad, baro, sicil ve adres]</w:t>
      </w:r>
    </w:p>
    <w:p>
      <w:pPr>
        <w:keepLines/>
      </w:pPr>
      <w:r>
        <w:rPr>
          <w:rFonts w:ascii="Times New Roman" w:hAnsi="Times New Roman" w:eastAsia="Times New Roman"/>
          <w:b/>
        </w:rPr>
        <w:t xml:space="preserve">DAVALI: </w:t>
      </w:r>
      <w:r>
        <w:rPr>
          <w:rFonts w:ascii="Times New Roman" w:hAnsi="Times New Roman" w:eastAsia="Times New Roman"/>
        </w:rPr>
        <w:t>Devlet Hazinesi [yerel temsil bilgisi mahkemece belirlenir]</w:t>
      </w:r>
    </w:p>
    <w:p>
      <w:pPr>
        <w:keepLines/>
      </w:pPr>
      <w:r>
        <w:rPr>
          <w:rFonts w:ascii="Times New Roman" w:hAnsi="Times New Roman" w:eastAsia="Times New Roman"/>
          <w:b/>
        </w:rPr>
        <w:t xml:space="preserve">İLGİLİ CEZA DOSYASI: </w:t>
      </w:r>
      <w:r>
        <w:rPr>
          <w:rFonts w:ascii="Times New Roman" w:hAnsi="Times New Roman" w:eastAsia="Times New Roman"/>
        </w:rPr>
        <w:t>[Soruşturma, esas, karar ve kayyım atama numarası]</w:t>
      </w:r>
    </w:p>
    <w:p>
      <w:pPr>
        <w:keepLines/>
      </w:pPr>
      <w:r>
        <w:rPr>
          <w:rFonts w:ascii="Times New Roman" w:hAnsi="Times New Roman" w:eastAsia="Times New Roman"/>
          <w:b/>
        </w:rPr>
        <w:t xml:space="preserve">İSTEM KONUSU: </w:t>
      </w:r>
      <w:r>
        <w:rPr>
          <w:rFonts w:ascii="Times New Roman" w:hAnsi="Times New Roman" w:eastAsia="Times New Roman"/>
        </w:rPr>
        <w:t>CMK m.133/5 ve m.142-144 uyarınca, kayyımın görevle ilgili [tarih ve işlem] nedeniyle doğan, belgeli [tutar] maddi zarar ile şartları somut olayda varsa [tutar] manevi zararın, talep edilen faiz ve ferileriyle Devletten tazminidir.</w:t>
      </w:r>
    </w:p>
    <w:p>
      <w:pPr>
        <w:pStyle w:val="Heading1"/>
        <w:keepNext/>
        <w:keepLines/>
      </w:pPr>
      <w:r>
        <w:rPr>
          <w:rFonts w:ascii="Times New Roman" w:hAnsi="Times New Roman" w:eastAsia="Times New Roman"/>
        </w:rPr>
        <w:t>AÇIKLAMALAR</w:t>
      </w:r>
    </w:p>
    <w:p>
      <w:pPr>
        <w:keepLines/>
        <w:ind w:firstLine="187"/>
      </w:pPr>
      <w:r>
        <w:rPr>
          <w:rFonts w:ascii="Times New Roman" w:hAnsi="Times New Roman" w:eastAsia="Times New Roman"/>
        </w:rPr>
        <w:t>1. [Mahkeme/hâkimlik], [tarih ve numara] kararıyla CMK m.133 uyarınca [şirket] işlerinin yürütülmesi için [kayyım adı] kayyımını atamış; yetki kapsamını [tam metin] olarak belirlemiştir. Atama ve sonraki yetki değişiklikleri Ek-1’dedir.</w:t>
      </w:r>
    </w:p>
    <w:p>
      <w:pPr>
        <w:keepLines/>
        <w:ind w:firstLine="187"/>
      </w:pPr>
      <w:r>
        <w:rPr>
          <w:rFonts w:ascii="Times New Roman" w:hAnsi="Times New Roman" w:eastAsia="Times New Roman"/>
        </w:rPr>
        <w:t>2. Kayyım, görevi sırasında [tarih] tarihinde [satış, fesih, muhafaza, tahsil veya başka işlem] hakkında [karar/talimat] vermiş; işlem [uygulama tarihi ve şekli] ile tamamlanmıştır. Karar, sözleşme, banka ve teslim kayıtları Ek-2 ila Ek-[ ] arasındadır.</w:t>
      </w:r>
    </w:p>
    <w:p>
      <w:pPr>
        <w:keepLines/>
        <w:ind w:firstLine="187"/>
      </w:pPr>
      <w:r>
        <w:rPr>
          <w:rFonts w:ascii="Times New Roman" w:hAnsi="Times New Roman" w:eastAsia="Times New Roman"/>
        </w:rPr>
        <w:t>3. İşlemin görevle bağlantısı, kayyımın temsil sıfatıyla ve atama döneminde yapılmış olmasından ibaret değildir; [yetkinin kullanılış biçimi ve şirket işi] nedeniyle doğrudan kayyımlık görevi kapsamında gerçekleşmiştir.</w:t>
      </w:r>
    </w:p>
    <w:p>
      <w:pPr>
        <w:keepLines/>
        <w:ind w:firstLine="187"/>
      </w:pPr>
      <w:r>
        <w:rPr>
          <w:rFonts w:ascii="Times New Roman" w:hAnsi="Times New Roman" w:eastAsia="Times New Roman"/>
        </w:rPr>
        <w:t>4. İşlemin görev gereklerine aykırılığı şu somut olgulara dayanmaktadır: [atama yetkisinin aşılması / mevcut bağımsız değerin dikkate alınmaması / koruma yükümlülüğünün ihlali / teklif veya tahsil kaydının göz ardı edilmesi]. Her olgu Ek-[ ] belgesiyle eşleştirilmiştir.</w:t>
      </w:r>
    </w:p>
    <w:p>
      <w:pPr>
        <w:keepLines/>
        <w:ind w:firstLine="187"/>
      </w:pPr>
      <w:r>
        <w:rPr>
          <w:rFonts w:ascii="Times New Roman" w:hAnsi="Times New Roman" w:eastAsia="Times New Roman"/>
        </w:rPr>
        <w:t>5. İşlem öncesi [varlık veya hakkın] doğrulanabilir net değeri [tutar], işlem sonucunda şirkete giren veya korunan değer [tutar]dır. Aradaki [tutar] fark; vergi, borç, takyidat, maliyet ve tahsil edilen karşılık düşülerek Ek-[ ] çizelgesinde gösterilmiştir.</w:t>
      </w:r>
    </w:p>
    <w:p>
      <w:pPr>
        <w:keepLines/>
        <w:ind w:firstLine="187"/>
      </w:pPr>
      <w:r>
        <w:rPr>
          <w:rFonts w:ascii="Times New Roman" w:hAnsi="Times New Roman" w:eastAsia="Times New Roman"/>
        </w:rPr>
        <w:t>6. [Yoksun kalınan kâr / ek gider / fiziksel kayıp] talebi için [dönem] mali kayıtları, sözleşmeler, kapasite ve tasarruf edilen giderler birlikte hesaplanmıştır. Brüt ciro talep edilmemiş; kayyım işlemiyle uygun nedensellik taşıyan net zarar ayrılmıştır.</w:t>
      </w:r>
    </w:p>
    <w:p>
      <w:pPr>
        <w:keepLines/>
        <w:ind w:firstLine="187"/>
      </w:pPr>
      <w:r>
        <w:rPr>
          <w:rFonts w:ascii="Times New Roman" w:hAnsi="Times New Roman" w:eastAsia="Times New Roman"/>
        </w:rPr>
        <w:t>7. [Piyasa değişimi, önceki yönetim işlemi, ceza tedbiri veya başka neden] olası alternatif nedendir. Bu etkinin [uzman raporu/kayıt] ile [tutar/oran] olarak ayrıldığı ve kalan zararın doğrudan [kayyım işlemi] sonucunda doğduğu Ek-[ ] ile gösterilmektedir.</w:t>
      </w:r>
    </w:p>
    <w:p>
      <w:pPr>
        <w:keepLines/>
        <w:ind w:firstLine="187"/>
      </w:pPr>
      <w:r>
        <w:rPr>
          <w:rFonts w:ascii="Times New Roman" w:hAnsi="Times New Roman" w:eastAsia="Times New Roman"/>
        </w:rPr>
        <w:t>8. Asıl dosyada [nihai karar/hüküm] [tarih] tarihinde kesinleşmiş, kesinleşme [tarih] tarihinde istemde bulunana tebliğ edilmiştir. İşbu istem üç aylık süre ve kesinleşmeyi izleyen bir yıllık üst süre dolmadan sunulmaktadır. Kesinleşme ve tebliğ kayıtları Ek-[ ]’dedir.</w:t>
      </w:r>
    </w:p>
    <w:p>
      <w:pPr>
        <w:keepLines/>
        <w:ind w:firstLine="187"/>
      </w:pPr>
      <w:r>
        <w:rPr>
          <w:rFonts w:ascii="Times New Roman" w:hAnsi="Times New Roman" w:eastAsia="Times New Roman"/>
        </w:rPr>
        <w:t>9. İstemde bulunanın oturduğu/merkezinin bulunduğu yer [yer] olup mahkemeniz CMK m.142/2 uyarınca görevlidir ve yetkilidir. Tazminat konusu işlemle ilişkili mahkeme ve aynı yerdeki daire sayısı bakımından özel yetki kuralı [uygulanmamaktadır / şu nedenle uygulanmaktadır].</w:t>
      </w:r>
    </w:p>
    <w:p>
      <w:pPr>
        <w:keepLines/>
        <w:ind w:firstLine="187"/>
      </w:pPr>
      <w:r>
        <w:rPr>
          <w:rFonts w:ascii="Times New Roman" w:hAnsi="Times New Roman" w:eastAsia="Times New Roman"/>
        </w:rPr>
        <w:t>10. Zarar hesabının mali müşavirlik, değerleme ve sektör uzmanlığı gerektiren kısımları için bilirkişi incelemesi; kayyım karar ve yazışmalarının ilgili ceza dosyasından, ticari kayıtların şirket ve kurumlardan celbi talep olunur.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m.133/5 ve m.142-144; tazminat hukukunun ilgili genel ilkeleri ve somut olaya uygulanacak diğer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kayyım atama ve yetki kararları; Ek-2 nihai karar veya hüküm; Ek-3 kesinleşme şerhi ve tebliğ belgesi; Ek-4 kayyım kararları ve yazışmaları; Ek-5 ticaret sicili ve temsil kayıtları; Ek-6 şirket defterleri ve mali tablolar; Ek-7 sözleşme, teklif, fatura ve banka kayıtları; Ek-8 değerleme ve ekspertiz; Ek-9 teslim, sayım ve muhafaza tutanakları; Ek-10 kalemli zarar ve nedensellik çizelgesi; bilirkişi incelemesi ve her türlü yasal delil.</w:t>
      </w:r>
    </w:p>
    <w:p>
      <w:pPr>
        <w:pStyle w:val="Heading1"/>
        <w:keepNext/>
        <w:keepLines/>
      </w:pPr>
      <w:r>
        <w:rPr>
          <w:rFonts w:ascii="Times New Roman" w:hAnsi="Times New Roman" w:eastAsia="Times New Roman"/>
        </w:rPr>
        <w:t>SONUÇ VE İSTEM</w:t>
      </w:r>
    </w:p>
    <w:p>
      <w:pPr>
        <w:keepLines/>
        <w:ind w:firstLine="187"/>
      </w:pPr>
      <w:r>
        <w:rPr>
          <w:rFonts w:ascii="Times New Roman" w:hAnsi="Times New Roman" w:eastAsia="Times New Roman"/>
        </w:rPr>
        <w:t>Açıklanan nedenlerle; (1) kayyım atama dosyası ile işlem kayıtlarının eksiksiz celbine, (2) [tutar] maddi zararın ve koşulları varsa [tutar] manevi zararın Devletten tahsiline, (3) talep edilen faizin başlangıcı ve türünün somut olay ile güncel uygulamaya göre değerlendirilmesine, (4) zarar ve nedensellik için bilirkişi incelemesi yapılmasına, (5) yargılama giderleri ile CMK m.142/9 çerçevesinde vekâlet ücretine karar verilmesini saygıyla arz ve talep ederiz. [Tarih]</w:t>
      </w:r>
    </w:p>
    <w:p>
      <w:pPr>
        <w:keepLines/>
        <w:jc w:val="right"/>
      </w:pPr>
      <w:r>
        <w:rPr>
          <w:rFonts w:ascii="Times New Roman" w:hAnsi="Times New Roman" w:eastAsia="Times New Roman"/>
          <w:b/>
        </w:rPr>
        <w:t>[İstemde bulunan / vekili]</w:t>
        <w:br/>
        <w:t>[Ad-soyad]</w:t>
        <w:br/>
        <w:t>[İmza / E-imza]</w:t>
      </w:r>
    </w:p>
    <w:sectPr w:rsidR="00FC693F" w:rsidRPr="0006063C" w:rsidSect="00034616">
      <w:pgSz w:w="12240" w:h="15840"/>
      <w:pgMar w:top="720"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21"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8" w:after="26"/>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133/5 Şirket Kayyımının İşleminden Doğan Zarar Tazminat Dilekçesi</dc:title>
  <dc:subject>Kayyımın görevle ilgili işleminden doğan zararın Devlet aleyhine CMK 142-144 usulüyle tazmini</dc:subject>
  <dc:creator>Av. Halil Bakırcı</dc:creator>
  <cp:keywords>CMK 133/5, şirket kayyımı, tazminat, Devlet Hazinesi, CMK 142, dilekçe</cp:keywords>
  <dc:description>generated by python-docx</dc:description>
  <cp:lastModifiedBy/>
  <cp:revision>1</cp:revision>
  <dcterms:created xsi:type="dcterms:W3CDTF">2013-12-23T23:15:00Z</dcterms:created>
  <dcterms:modified xsi:type="dcterms:W3CDTF">2013-12-23T23:15:00Z</dcterms:modified>
  <cp:category/>
</cp:coreProperties>
</file>