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40"/>
        <w:jc w:val="center"/>
      </w:pPr>
      <w:r>
        <w:rPr>
          <w:rFonts w:ascii="Times New Roman" w:hAnsi="Times New Roman" w:eastAsia="Times New Roman"/>
          <w:b/>
          <w:sz w:val="22"/>
        </w:rPr>
        <w:t>[YER] [AĞIR CEZA / ASLİYE CEZA] MAHKEMESİNE</w:t>
      </w:r>
    </w:p>
    <w:p>
      <w:pPr>
        <w:keepLines/>
      </w:pPr>
      <w:r>
        <w:rPr>
          <w:rFonts w:ascii="Times New Roman" w:hAnsi="Times New Roman" w:eastAsia="Times New Roman"/>
          <w:b/>
        </w:rPr>
        <w:t xml:space="preserve">DOSYA NO: </w:t>
      </w:r>
      <w:r>
        <w:rPr>
          <w:rFonts w:ascii="Times New Roman" w:hAnsi="Times New Roman" w:eastAsia="Times New Roman"/>
        </w:rPr>
        <w:t>[ ]</w:t>
      </w:r>
    </w:p>
    <w:p>
      <w:pPr>
        <w:keepLines/>
      </w:pPr>
      <w:r>
        <w:rPr>
          <w:rFonts w:ascii="Times New Roman" w:hAnsi="Times New Roman" w:eastAsia="Times New Roman"/>
          <w:b/>
        </w:rPr>
        <w:t xml:space="preserve">SANIK: </w:t>
      </w:r>
      <w:r>
        <w:rPr>
          <w:rFonts w:ascii="Times New Roman" w:hAnsi="Times New Roman" w:eastAsia="Times New Roman"/>
        </w:rPr>
        <w:t>[Ad-soyad, T.C. kimlik, adres]</w:t>
      </w:r>
    </w:p>
    <w:p>
      <w:pPr>
        <w:keepLines/>
      </w:pPr>
      <w:r>
        <w:rPr>
          <w:rFonts w:ascii="Times New Roman" w:hAnsi="Times New Roman" w:eastAsia="Times New Roman"/>
          <w:b/>
        </w:rPr>
        <w:t xml:space="preserve">MÜDAFİİ: </w:t>
      </w:r>
      <w:r>
        <w:rPr>
          <w:rFonts w:ascii="Times New Roman" w:hAnsi="Times New Roman" w:eastAsia="Times New Roman"/>
        </w:rPr>
        <w:t>[Ad-soyad, baro, sicil, adres]</w:t>
      </w:r>
    </w:p>
    <w:p>
      <w:pPr>
        <w:keepLines/>
      </w:pPr>
      <w:r>
        <w:rPr>
          <w:rFonts w:ascii="Times New Roman" w:hAnsi="Times New Roman" w:eastAsia="Times New Roman"/>
          <w:b/>
        </w:rPr>
        <w:t xml:space="preserve">KONU: </w:t>
      </w:r>
      <w:r>
        <w:rPr>
          <w:rFonts w:ascii="Times New Roman" w:hAnsi="Times New Roman" w:eastAsia="Times New Roman"/>
        </w:rPr>
        <w:t>CMK m.139 kapsamında faaliyet yürüttüğü anlaşılan kişinin kamu görevlisi statüsü ile hâkim kararının denetlenmesi; şartlar yoksa elde edilen delillerin CMK m.206/2-a uyarınca reddi ve m.217/2 uyarınca hükme esas alınmaması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Dosyada [kod/adlandırma] ile anılan kişi, [tarih aralığı] içinde [şüpheli/örgüt/olay] ile temas kurmuş; [buluşma, kayıt, teslim, rapor veya işlem] faaliyetlerini yürütmüştür. Bu faaliyetler [tutanak, rapor, iddianame sayfa ve paragraf] içinde delil gösterilmiştir.</w:t>
      </w:r>
    </w:p>
    <w:p>
      <w:pPr>
        <w:keepLines/>
        <w:ind w:firstLine="173"/>
      </w:pPr>
      <w:r>
        <w:rPr>
          <w:rFonts w:ascii="Times New Roman" w:hAnsi="Times New Roman" w:eastAsia="Times New Roman"/>
        </w:rPr>
        <w:t>2. Kişinin yalnız geçmişte gördüğü olayı bildiren bir muhbir olmadığı; kolluk yönlendirmesiyle [somut talimat], [planlanan temas], [cihaz/para teslimi] ve [düzenli rapor] faaliyetlerini yürüttüğü [belge ve zaman çizelgesi] üzerinden anlaşılmaktadır. Gizli kimliğin açıklanması değil, fiilî rolün hukuki niteliğinin denetlenmesi istenmektedir.</w:t>
      </w:r>
    </w:p>
    <w:p>
      <w:pPr>
        <w:keepLines/>
        <w:ind w:firstLine="173"/>
      </w:pPr>
      <w:r>
        <w:rPr>
          <w:rFonts w:ascii="Times New Roman" w:hAnsi="Times New Roman" w:eastAsia="Times New Roman"/>
        </w:rPr>
        <w:t>3. CMK m.139/1 uyarınca yalnız kamu görevlileri gizli soruşturmacı olarak görevlendirilebilir ve görevlendirmeye hâkim karar verir. Dosyada kişinin karar tarihinde kamu görevlisi olduğunu ve faaliyetin önceden verilmiş hâkim kararının kapsamına girdiğini gösteren denetlenebilir kayıt bulunmamaktadır / savunmaya bu şartın doğrulandığını gösteren gerekçe açıklanmamıştır.</w:t>
      </w:r>
    </w:p>
    <w:p>
      <w:pPr>
        <w:keepLines/>
        <w:ind w:firstLine="173"/>
      </w:pPr>
      <w:r>
        <w:rPr>
          <w:rFonts w:ascii="Times New Roman" w:hAnsi="Times New Roman" w:eastAsia="Times New Roman"/>
        </w:rPr>
        <w:t>4. Kimlik ve güvenlik bilgileri açıklanmadan; görevlendirme kararının, kamu görevlisi statüsünü doğrulayan resmî kaydın, görevin tarih-kapsamının, katalog suçun ve başka suretle delil elde edilememe gerekçesinin mahkemece incelenmesi gerekir.</w:t>
      </w:r>
    </w:p>
    <w:p>
      <w:pPr>
        <w:keepLines/>
        <w:ind w:firstLine="173"/>
      </w:pPr>
      <w:r>
        <w:rPr>
          <w:rFonts w:ascii="Times New Roman" w:hAnsi="Times New Roman" w:eastAsia="Times New Roman"/>
        </w:rPr>
        <w:t>5. Faaliyet [hâkim kararından önce / karar süresi dışında / farklı suç veya örgüt yönünden] yürütülmüştür. İlk temas, kolluk talimatı ve delil teslim tarihleri karşılaştırıldığında kapsam aşımı görülecektir.</w:t>
      </w:r>
    </w:p>
    <w:p>
      <w:pPr>
        <w:keepLines/>
        <w:ind w:firstLine="173"/>
      </w:pPr>
      <w:r>
        <w:rPr>
          <w:rFonts w:ascii="Times New Roman" w:hAnsi="Times New Roman" w:eastAsia="Times New Roman"/>
        </w:rPr>
        <w:t>6. [Varsa:] Kişi mevcut suçu yalnız gözlemlememiş; [ısrarlı teklif, miktar-zamanın belirlenmesi, eşyanın sağlanması, suç iradesinin oluşturulması] yoluyla olayın kurulmasına katılmıştır. CMK m.139/5 soruşturmacının suç işleyemeyeceğini düzenler. İddia ham kayıtlar, mesajlar, ödeme ve talimat zinciriyle incelenmelidir.</w:t>
      </w:r>
    </w:p>
    <w:p>
      <w:pPr>
        <w:keepLines/>
        <w:ind w:firstLine="173"/>
      </w:pPr>
      <w:r>
        <w:rPr>
          <w:rFonts w:ascii="Times New Roman" w:hAnsi="Times New Roman" w:eastAsia="Times New Roman"/>
        </w:rPr>
        <w:t>7. CMK m.206/2-a gereğince kanuna aykırı elde edilen delil reddedilir; m.217/2 gereğince yüklenen suç ancak hukuka uygun elde edilmiş delille ispat edilebilir. [Ses kaydı/tutanak/teslim/rapor] CMK m.139'un kamu görevlisi, hâkim kararı, katalog ve son çare güvenceleri dışında elde edilmişse ortaya konulmamalı ve hükme esas alınmamalıdır.</w:t>
      </w:r>
    </w:p>
    <w:p>
      <w:pPr>
        <w:pStyle w:val="Heading1"/>
        <w:keepNext/>
        <w:keepLines/>
      </w:pPr>
      <w:r>
        <w:rPr>
          <w:rFonts w:ascii="Times New Roman" w:hAnsi="Times New Roman" w:eastAsia="Times New Roman"/>
        </w:rPr>
        <w:t>DELİLLER</w:t>
      </w:r>
    </w:p>
    <w:p>
      <w:r>
        <w:rPr>
          <w:rFonts w:ascii="Times New Roman" w:hAnsi="Times New Roman" w:eastAsia="Times New Roman"/>
        </w:rPr>
        <w:t>Görevlendirme kararı ve ekleri; kamu görevlisi statü kaydı; talimat, temas, görev, teslim-tesellüm ve ödeme kayıtları; ham ses-görüntü ve mesajlar; hash ve çözüm tutanakları; kolluk raporları; iddianame ve duruşma tutanakları; UYAP kayıtları; bilirkişi incelemesi ve her türlü yasal delil.</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m.36 ve 38/6; 5271 sayılı CMK m.139, 206/2-a, 217/2 ve somut duruma göre m.267-268, 230, 289/1-i; AİHS m.6 ve ilgili mevzuat.</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gizli kimlik açıklanmadan kişinin karar tarihinde kamu görevlisi olduğunun ve geçerli hâkim kararının kapsamına girdiğinin mahkemece denetlenmesine, (2) görevlendirme kararı, statü kaydı, görev-talimat raporları, temas ve delil teslim zincirinin getirtilmesine, (3) ilk temas ile karar tarihinin karşılaştırılmasına, (4) şartlar bulunmazsa belirtilen kayıt, tutanak ve doğrudan ürünü delillerin CMK m.206/2-a uyarınca reddine, (5) m.217/2 gereği hükme esas alınmamasına, (6) talep hakkında denetlenebilir ve gerekçeli karar kurulmasına karar verilmesini saygıyla arz ve talep ederiz. [Tarih]</w:t>
      </w:r>
    </w:p>
    <w:p>
      <w:pPr>
        <w:keepLines/>
        <w:jc w:val="right"/>
      </w:pPr>
      <w:r>
        <w:rPr>
          <w:rFonts w:ascii="Times New Roman" w:hAnsi="Times New Roman" w:eastAsia="Times New Roman"/>
          <w:b/>
        </w:rPr>
        <w:t>[Sanık / müdafi]</w:t>
        <w:br/>
        <w:t>[Ad-soyad]</w:t>
        <w:br/>
        <w:t>[İmza / E-imza]</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16"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2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139 Kamu Görevlisi Olmayan Gizli Soruşturmacı Delil Reddi Dilekçesi</dc:title>
  <dc:subject>Gizli soruşturmacının kamu görevlisi statüsünün denetimi ve delilin reddi</dc:subject>
  <dc:creator>Av. Halil Bakırcı</dc:creator>
  <cp:keywords>CMK 139, gizli soruşturmacı, kamu görevlisi, delilin reddi, dilekçe</cp:keywords>
  <dc:description>generated by python-docx</dc:description>
  <cp:lastModifiedBy/>
  <cp:revision>1</cp:revision>
  <dcterms:created xsi:type="dcterms:W3CDTF">2013-12-23T23:15:00Z</dcterms:created>
  <dcterms:modified xsi:type="dcterms:W3CDTF">2013-12-23T23:15:00Z</dcterms:modified>
  <cp:category/>
</cp:coreProperties>
</file>