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36"/>
        <w:jc w:val="center"/>
      </w:pPr>
      <w:r>
        <w:rPr>
          <w:rFonts w:ascii="Times New Roman" w:hAnsi="Times New Roman" w:eastAsia="Times New Roman"/>
          <w:b/>
          <w:sz w:val="20"/>
        </w:rPr>
        <w:t>[YER] NÖBETÇİ AĞIR CEZA MAHKEMESİNE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DAVACI: </w:t>
      </w:r>
      <w:r>
        <w:rPr>
          <w:rFonts w:ascii="Times New Roman" w:hAnsi="Times New Roman" w:eastAsia="Times New Roman"/>
        </w:rPr>
        <w:t>[Ad-soyad, T.C. kimlik no, açık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VEKİLİ: </w:t>
      </w:r>
      <w:r>
        <w:rPr>
          <w:rFonts w:ascii="Times New Roman" w:hAnsi="Times New Roman" w:eastAsia="Times New Roman"/>
        </w:rPr>
        <w:t>[Ad-soyad, baro, sicil,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DAVALI: </w:t>
      </w:r>
      <w:r>
        <w:rPr>
          <w:rFonts w:ascii="Times New Roman" w:hAnsi="Times New Roman" w:eastAsia="Times New Roman"/>
        </w:rPr>
        <w:t>Hazine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İLGİLİ CEZA DOSYASI: </w:t>
      </w:r>
      <w:r>
        <w:rPr>
          <w:rFonts w:ascii="Times New Roman" w:hAnsi="Times New Roman" w:eastAsia="Times New Roman"/>
        </w:rPr>
        <w:t>[Soruşturma / esas / değişik iş numarası]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KONU: </w:t>
      </w:r>
      <w:r>
        <w:rPr>
          <w:rFonts w:ascii="Times New Roman" w:hAnsi="Times New Roman" w:eastAsia="Times New Roman"/>
        </w:rPr>
        <w:t>CMK m.141/1-k uyarınca [yakalama/adli kontrol/tutuklama] işlemine karşı kanunda öngörülen [itiraz/salıverilme/kaldırma-değiştirme] başvuru imkânından yararlandırılmama nedeniyle belgeli maddi zarar ile mahkemece takdir edilecek manevi tazminat istemidir.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AÇIKLAMALAR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1. Davacı hakkında [merci] tarafından [tarih ve numara] ile [yakalama/adli kontrol/tutuklama] kararı verilmiştir. Kararın öğrenme/tebliğ tarihi [ ] olup tedbir [başlangıç-bitiş] arasında uygulanmıştır.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2. Kanunen kullanılabilecek başvuru [CMK maddesi ve başvurunun adı]dır. Bu başvuruya ilişkin süre, merci ve şekil [kararda hiç gösterilmemiş/yanlış gösterilmiş] veya karar örneği [tarih]e kadar verilmemiştir. [Varsa diğer engel gerçek kayıtla açıklanır.]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3. Davacı/müdafii [tarih]te [ceza infaz kurumu/mahkeme kalemi/UYAP] üzerinden başvuru sunmuştur. Teslim kaydı [ ] olmasına rağmen dilekçe [yetkili mercie gönderilmemiş/gecikmeli gönderilmiş/işleme alınmamış]tır. Dosya hareketi ve evrak kayıtları ekte sunulmuştur.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4. [Varsa:] Cumhuriyet savcısının [tarih] tarihli aleyhe görüşü başvurucuya bildirilmemiş; [dosya veya belge] erişimine ilişkin [tarih] tarihli talep [karar] ile sonuçlanmıştır. Bu eksiklik, [itiraz sebebi] hakkında açıklama ve belge sunulmasını somut olarak engellemiştir.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5. Başvuru hakkı etkili biçimde kullanılabilseydi tedbirin mutlaka kaldırılacağı varsayılmamaktadır. Ancak itirazın incelenmemesi veya esaslı bilgiye erişimin engellenmesi nedeniyle tedbirin hukuka ve gerekliliğe uygunluğunu yetkili mercie inceletme imkânı ortadan kalkmış; ihlal [başlangıç-bitiş] döneminde sürmüştür.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6. İlgili ceza dosyasında [nihai karar] verilmiş ve karar [kesinleşme tarihi]te kesinleşerek [tebliğ tarihi]te davacıya tebliğ edilmiştir. İşbu dava CMK m.142/1’deki üç aylık ve bir yıllık süreler içinde açılmıştır.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7. Maddi zarar [kalem, dönem, hesap ve belge] olarak toplam [ ] TL’dir. Manevi zarar talebi; ihlalin süresi, tedbirin ağırlığı, aile ve meslek hayatına etkisi ile başvuru yoluna erişememenin yarattığı belirsizlik dikkate alınarak [ ] TL’dir. Miktar ve uygun nedensellik bağı sunulan belgelerle değerlendirilmelidir.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DELİLLER</w:t>
      </w:r>
    </w:p>
    <w:p>
      <w:r>
        <w:rPr>
          <w:rFonts w:ascii="Times New Roman" w:hAnsi="Times New Roman" w:eastAsia="Times New Roman"/>
        </w:rPr>
        <w:t>Koruma tedbiri kararları; tebliğ ve UYAP kayıtları; kanun yolu bildirimi; itiraz ve salıverilme/adli kontrol kaldırma-değiştirme dilekçeleri; ceza infaz kurumu teslim kayıtları; dosya hareketleri; savcılık görüşü ve tebliğ kayıtları; erişim talepleri ve kararları; nihai karar ve kesinleşme şerhi; gelir, gider ve zarar belgeleri; ilgili ceza dosyası ve her türlü yasal delil.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HUKUKİ NEDENLER</w:t>
      </w:r>
    </w:p>
    <w:p>
      <w:r>
        <w:rPr>
          <w:rFonts w:ascii="Times New Roman" w:hAnsi="Times New Roman" w:eastAsia="Times New Roman"/>
        </w:rPr>
        <w:t>Anayasa m.19, 36 ve 40; 5271 sayılı CMK m.104, 105, 111, 141/1-k, 142, 267-268 ve ilgili diğer mevzuat.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SONUÇ VE İSTEM</w:t>
      </w:r>
    </w:p>
    <w:p>
      <w:pPr>
        <w:keepLines/>
        <w:ind w:firstLine="173"/>
      </w:pPr>
      <w:r>
        <w:rPr>
          <w:rFonts w:ascii="Times New Roman" w:hAnsi="Times New Roman" w:eastAsia="Times New Roman"/>
        </w:rPr>
        <w:t>Açıklanan nedenlerle; (1) ilgili soruşturma/kovuşturma ve itiraz dosyalarının celbine, (2) kararın öğrenme-tebliğ, dilekçe teslim ve yetkili mercie gönderim tarihlerinin UYAP ve kurum kayıtlarından belirlenmesine, (3) davacının [yakalama/adli kontrol/tutuklama] işlemine karşı kanunda öngörülen başvuru imkânından yararlandırılmadığının tespitine, (4) belgeli [ ] TL maddi ve ihlalin özelliklerine göre [ ] TL manevi tazminatın yasal koşullarıyla davalı Hazineden tahsiline, (5) yargılama giderleri ve vekâlet ücretinin davalı üzerinde bırakılmasına karar verilmesini saygıyla arz ve talep ederiz. [Tarih]</w:t>
      </w:r>
    </w:p>
    <w:p>
      <w:pPr>
        <w:keepLines/>
        <w:jc w:val="right"/>
      </w:pPr>
      <w:r>
        <w:rPr>
          <w:rFonts w:ascii="Times New Roman" w:hAnsi="Times New Roman" w:eastAsia="Times New Roman"/>
          <w:b/>
        </w:rPr>
        <w:t>[Davacı / vekili]</w:t>
        <w:br/>
        <w:t>[Ad-soyad]</w:t>
        <w:br/>
        <w:t>[İmza / E-imza]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EKLER</w:t>
      </w:r>
    </w:p>
    <w:p>
      <w:pPr>
        <w:keepLines/>
      </w:pPr>
      <w:r>
        <w:rPr>
          <w:rFonts w:ascii="Times New Roman" w:hAnsi="Times New Roman" w:eastAsia="Times New Roman"/>
        </w:rPr>
        <w:t>1. Koruma tedbiri kararı ve kanun yolu bildirimi</w:t>
      </w:r>
    </w:p>
    <w:p>
      <w:pPr>
        <w:keepLines/>
      </w:pPr>
      <w:r>
        <w:rPr>
          <w:rFonts w:ascii="Times New Roman" w:hAnsi="Times New Roman" w:eastAsia="Times New Roman"/>
        </w:rPr>
        <w:t>2. Tebliğ/öğrenme ve kesinleşme kayıtları</w:t>
      </w:r>
    </w:p>
    <w:p>
      <w:pPr>
        <w:keepLines/>
      </w:pPr>
      <w:r>
        <w:rPr>
          <w:rFonts w:ascii="Times New Roman" w:hAnsi="Times New Roman" w:eastAsia="Times New Roman"/>
        </w:rPr>
        <w:t>3. Başvuru dilekçesi ile teslim/havale kayıtları</w:t>
      </w:r>
    </w:p>
    <w:p>
      <w:pPr>
        <w:keepLines/>
      </w:pPr>
      <w:r>
        <w:rPr>
          <w:rFonts w:ascii="Times New Roman" w:hAnsi="Times New Roman" w:eastAsia="Times New Roman"/>
        </w:rPr>
        <w:t>4. Savcılık görüşü, erişim talebi ve ilgili kararlar</w:t>
      </w:r>
    </w:p>
    <w:p>
      <w:pPr>
        <w:keepLines/>
      </w:pPr>
      <w:r>
        <w:rPr>
          <w:rFonts w:ascii="Times New Roman" w:hAnsi="Times New Roman" w:eastAsia="Times New Roman"/>
        </w:rPr>
        <w:t>5. Nihai ceza kararı ve kesinleşme şerhi</w:t>
      </w:r>
    </w:p>
    <w:p>
      <w:pPr>
        <w:keepLines/>
      </w:pPr>
      <w:r>
        <w:rPr>
          <w:rFonts w:ascii="Times New Roman" w:hAnsi="Times New Roman" w:eastAsia="Times New Roman"/>
        </w:rPr>
        <w:t>6. Maddi zararı gösteren hesap ve belgeler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21" w:lineRule="auto"/>
    </w:pPr>
    <w:rPr>
      <w:rFonts w:ascii="Times New Roman" w:hAnsi="Times New Roman" w:eastAsia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" w:after="14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141 1 k Başvuru İmkânından Yararlandırılmama Tazminat Dilekçesi</dc:title>
  <dc:subject>Yakalama, adli kontrol veya tutuklamaya karşı başvuru imkânından yararlandırılmama nedeniyle tazminat</dc:subject>
  <dc:creator>Av. Halil Bakırcı</dc:creator>
  <cp:keywords>CMK 141/1-k, tazminat, başvuru imkanı, itiraz, adli kontrol, tutuklama, dilekçe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