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keepLines/>
        <w:spacing w:after="32"/>
        <w:jc w:val="center"/>
      </w:pPr>
      <w:r>
        <w:rPr>
          <w:rFonts w:ascii="Times New Roman" w:hAnsi="Times New Roman" w:eastAsia="Times New Roman"/>
          <w:b/>
          <w:sz w:val="20"/>
        </w:rPr>
        <w:t>T.C. ADALET BAKANLIĞI</w:t>
        <w:br/>
        <w:t>TAZMİNAT KOMİSYONU BAŞKANLIĞINA</w:t>
      </w:r>
    </w:p>
    <w:p>
      <w:pPr>
        <w:keepLines/>
      </w:pPr>
      <w:r>
        <w:rPr>
          <w:rFonts w:ascii="Times New Roman" w:hAnsi="Times New Roman" w:eastAsia="Times New Roman"/>
          <w:b/>
        </w:rPr>
        <w:t xml:space="preserve">BAŞVURAN: </w:t>
      </w:r>
      <w:r>
        <w:rPr>
          <w:rFonts w:ascii="Times New Roman" w:hAnsi="Times New Roman" w:eastAsia="Times New Roman"/>
        </w:rPr>
        <w:t>[Ad-soyad, T.C. kimlik no, açık adres]</w:t>
      </w:r>
    </w:p>
    <w:p>
      <w:pPr>
        <w:keepLines/>
      </w:pPr>
      <w:r>
        <w:rPr>
          <w:rFonts w:ascii="Times New Roman" w:hAnsi="Times New Roman" w:eastAsia="Times New Roman"/>
          <w:b/>
        </w:rPr>
        <w:t xml:space="preserve">VEKİLİ: </w:t>
      </w:r>
      <w:r>
        <w:rPr>
          <w:rFonts w:ascii="Times New Roman" w:hAnsi="Times New Roman" w:eastAsia="Times New Roman"/>
        </w:rPr>
        <w:t>[Ad-soyad, baro, sicil, adres]</w:t>
      </w:r>
    </w:p>
    <w:p>
      <w:pPr>
        <w:keepLines/>
      </w:pPr>
      <w:r>
        <w:rPr>
          <w:rFonts w:ascii="Times New Roman" w:hAnsi="Times New Roman" w:eastAsia="Times New Roman"/>
          <w:b/>
        </w:rPr>
        <w:t xml:space="preserve">İLGİLİ CEZA DOSYASI: </w:t>
      </w:r>
      <w:r>
        <w:rPr>
          <w:rFonts w:ascii="Times New Roman" w:hAnsi="Times New Roman" w:eastAsia="Times New Roman"/>
        </w:rPr>
        <w:t>[Soruşturma / esas / karar numarası]</w:t>
      </w:r>
    </w:p>
    <w:p>
      <w:pPr>
        <w:keepLines/>
      </w:pPr>
      <w:r>
        <w:rPr>
          <w:rFonts w:ascii="Times New Roman" w:hAnsi="Times New Roman" w:eastAsia="Times New Roman"/>
          <w:b/>
        </w:rPr>
        <w:t xml:space="preserve">KONU: </w:t>
      </w:r>
      <w:r>
        <w:rPr>
          <w:rFonts w:ascii="Times New Roman" w:hAnsi="Times New Roman" w:eastAsia="Times New Roman"/>
        </w:rPr>
        <w:t>CMK m.141/1-l ve 6384 sayılı Kanun m.5/B uyarınca [konutu terk etmeme / bağımlılıktan arınma amacıyla tedavi veya muayene] adli kontrol yükümlülüğü uygulandıktan sonra [KYOK / beraat] kararı verilmesi nedeniyle belgeli maddi ve takdir edilecek manevi zararın Devletten tazmini istemidir.</w:t>
      </w:r>
    </w:p>
    <w:p>
      <w:pPr>
        <w:pStyle w:val="Heading1"/>
        <w:keepNext/>
        <w:keepLines/>
      </w:pPr>
      <w:r>
        <w:rPr>
          <w:rFonts w:ascii="Times New Roman" w:hAnsi="Times New Roman" w:eastAsia="Times New Roman"/>
        </w:rPr>
        <w:t>AÇIKLAMALAR</w:t>
      </w:r>
    </w:p>
    <w:p>
      <w:pPr>
        <w:keepLines/>
        <w:ind w:firstLine="173"/>
      </w:pPr>
      <w:r>
        <w:rPr>
          <w:rFonts w:ascii="Times New Roman" w:hAnsi="Times New Roman" w:eastAsia="Times New Roman"/>
        </w:rPr>
        <w:t>1. Başvuran hakkında [merci] tarafından [tarih ve numara] ile [konutu terk etmeme / hastaneye yatış dâhil tedavi veya muayene] yükümlülüğü kurulmuştur. Tedbir [başlangıç] tarihinde fiilen uygulanmaya başlanmış, [bitiş] tarihinde [kaldırılmış/değiştirilmiş]tir.</w:t>
      </w:r>
    </w:p>
    <w:p>
      <w:pPr>
        <w:keepLines/>
        <w:ind w:firstLine="173"/>
      </w:pPr>
      <w:r>
        <w:rPr>
          <w:rFonts w:ascii="Times New Roman" w:hAnsi="Times New Roman" w:eastAsia="Times New Roman"/>
        </w:rPr>
        <w:t>2. Uygulama dönemi [karar, elektronik kelepçe-kolluk kaydı / sevk, hastane kabul ve çıkış kaydı] ile sabittir. [Varsa izin, kesinti veya değişiklik tarihleri] ayrıca gösterilmiştir. Toplam fiilî uygulama süresi [ ] gündür.</w:t>
      </w:r>
    </w:p>
    <w:p>
      <w:pPr>
        <w:keepLines/>
        <w:ind w:firstLine="173"/>
      </w:pPr>
      <w:r>
        <w:rPr>
          <w:rFonts w:ascii="Times New Roman" w:hAnsi="Times New Roman" w:eastAsia="Times New Roman"/>
        </w:rPr>
        <w:t>3. Soruşturma/kovuşturma sonunda [merci] [tarih, esas-karar/soruşturma numarası] ile [KYOK/beraat] kararı vermiştir. Karar [kesinleşme tarihi]te kesinleşmiş; kesinleşme [tebliğ tarihi]te başvurana tebliğ edilmiştir. Başvuru üç aylık ve bir yıllık süreler içindedir.</w:t>
      </w:r>
    </w:p>
    <w:p>
      <w:pPr>
        <w:keepLines/>
        <w:ind w:firstLine="173"/>
      </w:pPr>
      <w:r>
        <w:rPr>
          <w:rFonts w:ascii="Times New Roman" w:hAnsi="Times New Roman" w:eastAsia="Times New Roman"/>
        </w:rPr>
        <w:t>4. CMK m.141/1-l, belirtilen adli kontrol yükümlülükleri uygulandıktan sonra hakkında KYOK veya beraat kararı verilen kişiye maddi ve manevi zararını Devletten isteme hakkı tanır. CMK m.142/2 ve 6384 sayılı Kanun m.5/B uyarınca istem Komisyonun görevindedir.</w:t>
      </w:r>
    </w:p>
    <w:p>
      <w:pPr>
        <w:keepLines/>
        <w:ind w:firstLine="173"/>
      </w:pPr>
      <w:r>
        <w:rPr>
          <w:rFonts w:ascii="Times New Roman" w:hAnsi="Times New Roman" w:eastAsia="Times New Roman"/>
        </w:rPr>
        <w:t>5. Maddi zarar; [ücret/iş/gider kalemi] için [dönem] ve [hesap yöntemi] esas alınarak [ ] TL’dir. Her kalemin bordro, sözleşme, vergi, banka, fatura veya makbuz dayanağı ekler çizelgesinde belirtilmiştir. Tedbirle ilgisiz veya belgesiz kayıp talebe eklenmemiştir.</w:t>
      </w:r>
    </w:p>
    <w:p>
      <w:pPr>
        <w:keepLines/>
        <w:ind w:firstLine="173"/>
      </w:pPr>
      <w:r>
        <w:rPr>
          <w:rFonts w:ascii="Times New Roman" w:hAnsi="Times New Roman" w:eastAsia="Times New Roman"/>
        </w:rPr>
        <w:t>6. Manevi zarar; tedbirin [ ] günlük süresi, uygulama yoğunluğu, başvuranın aile, çalışma, eğitim ve sağlık yaşamına somut etkileriyle açıklanmıştır. Bu etkiler [mevcut belge/kayıt] ile desteklenmekte olup uygun manevi tazminatın Komisyonca takdiri talep edilmektedir.</w:t>
      </w:r>
    </w:p>
    <w:p>
      <w:pPr>
        <w:keepLines/>
        <w:ind w:firstLine="173"/>
      </w:pPr>
      <w:r>
        <w:rPr>
          <w:rFonts w:ascii="Times New Roman" w:hAnsi="Times New Roman" w:eastAsia="Times New Roman"/>
        </w:rPr>
        <w:t>7. Başvuran yönünden CMK m.144’teki tazminat yasağı sebepleri bulunmamaktadır. [Varsa tartışılması gereken nihai karar nedeni dürüstçe açıklanır.]</w:t>
      </w:r>
    </w:p>
    <w:p>
      <w:pPr>
        <w:pStyle w:val="Heading1"/>
        <w:keepNext/>
        <w:keepLines/>
      </w:pPr>
      <w:r>
        <w:rPr>
          <w:rFonts w:ascii="Times New Roman" w:hAnsi="Times New Roman" w:eastAsia="Times New Roman"/>
        </w:rPr>
        <w:t>HUKUKİ NEDENLER</w:t>
      </w:r>
    </w:p>
    <w:p>
      <w:r>
        <w:rPr>
          <w:rFonts w:ascii="Times New Roman" w:hAnsi="Times New Roman" w:eastAsia="Times New Roman"/>
        </w:rPr>
        <w:t>5271 sayılı CMK m.109, 141/1-l, 141/2, 142 ve 144; 6384 sayılı Kanun m.2, 5, 5/B ve 7; ilgili diğer mevzuat.</w:t>
      </w:r>
    </w:p>
    <w:p>
      <w:pPr>
        <w:pStyle w:val="Heading1"/>
        <w:keepNext/>
        <w:keepLines/>
      </w:pPr>
      <w:r>
        <w:rPr>
          <w:rFonts w:ascii="Times New Roman" w:hAnsi="Times New Roman" w:eastAsia="Times New Roman"/>
        </w:rPr>
        <w:t>DELİLLER</w:t>
      </w:r>
    </w:p>
    <w:p>
      <w:r>
        <w:rPr>
          <w:rFonts w:ascii="Times New Roman" w:hAnsi="Times New Roman" w:eastAsia="Times New Roman"/>
        </w:rPr>
        <w:t>Adli kontrol ve kaldırma/değiştirme kararları; uygulama ve denetim kayıtları; elektronik kelepçe/kolluk veya hastane-sevk belgeleri; KYOK/beraat kararı; kesinleşme ve tebliğ kayıtları; gelir-gider ve ödeme belgeleri; UYAP kayıtları; ilgili ceza dosyası ve her türlü yasal delil.</w:t>
      </w:r>
    </w:p>
    <w:p>
      <w:pPr>
        <w:pStyle w:val="Heading1"/>
        <w:keepNext/>
        <w:keepLines/>
      </w:pPr>
      <w:r>
        <w:rPr>
          <w:rFonts w:ascii="Times New Roman" w:hAnsi="Times New Roman" w:eastAsia="Times New Roman"/>
        </w:rPr>
        <w:t>SONUÇ VE İSTEM</w:t>
      </w:r>
    </w:p>
    <w:p>
      <w:pPr>
        <w:keepLines/>
        <w:ind w:firstLine="173"/>
      </w:pPr>
      <w:r>
        <w:rPr>
          <w:rFonts w:ascii="Times New Roman" w:hAnsi="Times New Roman" w:eastAsia="Times New Roman"/>
        </w:rPr>
        <w:t>Açıklanan nedenlerle; (1) ilgili soruşturma/kovuşturma ve adli kontrol kayıtlarının celbine, (2) [tedbir] yükümlülüğünün fiilen uygulandığı dönemin belirlenmesine, (3) belgeli [ ] TL maddi zarar ile olayın süresi ve etkilerine göre takdir edilecek [ ] TL manevi tazminatın yasal şartlarıyla Devletçe ödenmesine, (4) vekâlet ücreti ve başvuruya ilişkin giderler hakkında mevzuata uygun karar verilmesine saygıyla arz ve talep ederiz. [Tarih]</w:t>
      </w:r>
    </w:p>
    <w:p>
      <w:pPr>
        <w:keepLines/>
        <w:jc w:val="right"/>
      </w:pPr>
      <w:r>
        <w:rPr>
          <w:rFonts w:ascii="Times New Roman" w:hAnsi="Times New Roman" w:eastAsia="Times New Roman"/>
          <w:b/>
        </w:rPr>
        <w:t>[Başvuran / vekili]</w:t>
        <w:br/>
        <w:t>[Ad-soyad]</w:t>
        <w:br/>
        <w:t>[İmza / E-imza]</w:t>
      </w:r>
    </w:p>
    <w:p>
      <w:pPr>
        <w:pStyle w:val="Heading1"/>
        <w:keepNext/>
        <w:keepLines/>
      </w:pPr>
      <w:r>
        <w:rPr>
          <w:rFonts w:ascii="Times New Roman" w:hAnsi="Times New Roman" w:eastAsia="Times New Roman"/>
        </w:rPr>
        <w:t>EKLER</w:t>
      </w:r>
    </w:p>
    <w:p>
      <w:pPr>
        <w:keepLines/>
      </w:pPr>
      <w:r>
        <w:rPr>
          <w:rFonts w:ascii="Times New Roman" w:hAnsi="Times New Roman" w:eastAsia="Times New Roman"/>
        </w:rPr>
        <w:t>1. Adli kontrol kararı ve gerekçesi</w:t>
      </w:r>
    </w:p>
    <w:p>
      <w:pPr>
        <w:keepLines/>
      </w:pPr>
      <w:r>
        <w:rPr>
          <w:rFonts w:ascii="Times New Roman" w:hAnsi="Times New Roman" w:eastAsia="Times New Roman"/>
        </w:rPr>
        <w:t>2. Uygulama başlangıç-bitiş, denetim veya hastane kayıtları</w:t>
      </w:r>
    </w:p>
    <w:p>
      <w:pPr>
        <w:keepLines/>
      </w:pPr>
      <w:r>
        <w:rPr>
          <w:rFonts w:ascii="Times New Roman" w:hAnsi="Times New Roman" w:eastAsia="Times New Roman"/>
        </w:rPr>
        <w:t>3. Kaldırma, değiştirme ve geçici izin kararları</w:t>
      </w:r>
    </w:p>
    <w:p>
      <w:pPr>
        <w:keepLines/>
      </w:pPr>
      <w:r>
        <w:rPr>
          <w:rFonts w:ascii="Times New Roman" w:hAnsi="Times New Roman" w:eastAsia="Times New Roman"/>
        </w:rPr>
        <w:t>4. KYOK/beraat kararı ile kesinleşme şerhi</w:t>
      </w:r>
    </w:p>
    <w:p>
      <w:pPr>
        <w:keepLines/>
      </w:pPr>
      <w:r>
        <w:rPr>
          <w:rFonts w:ascii="Times New Roman" w:hAnsi="Times New Roman" w:eastAsia="Times New Roman"/>
        </w:rPr>
        <w:t>5. Kesinleşmenin tebliğ belgesi</w:t>
      </w:r>
    </w:p>
    <w:p>
      <w:pPr>
        <w:keepLines/>
      </w:pPr>
      <w:r>
        <w:rPr>
          <w:rFonts w:ascii="Times New Roman" w:hAnsi="Times New Roman" w:eastAsia="Times New Roman"/>
        </w:rPr>
        <w:t>6. Maddi zarar hesap çizelgesi ve dayanak belgeleri</w:t>
      </w:r>
    </w:p>
    <w:p>
      <w:pPr>
        <w:keepLines/>
      </w:pPr>
      <w:r>
        <w:rPr>
          <w:rFonts w:ascii="Times New Roman" w:hAnsi="Times New Roman" w:eastAsia="Times New Roman"/>
        </w:rPr>
        <w:t>7. Manevi etkiye ilişkin mevcut hukuka uygun kayıtlar</w:t>
      </w:r>
    </w:p>
    <w:p>
      <w:pPr>
        <w:keepLines/>
      </w:pPr>
      <w:r>
        <w:rPr>
          <w:rFonts w:ascii="Times New Roman" w:hAnsi="Times New Roman" w:eastAsia="Times New Roman"/>
        </w:rPr>
        <w:t>8. Vekâletname ve kimlik/adres belgeleri</w:t>
      </w:r>
    </w:p>
    <w:sectPr w:rsidR="00FC693F" w:rsidRPr="0006063C" w:rsidSect="00034616">
      <w:pgSz w:w="12240" w:h="15840"/>
      <w:pgMar w:top="691" w:right="893" w:bottom="691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 w:line="216" w:lineRule="auto"/>
    </w:pPr>
    <w:rPr>
      <w:rFonts w:ascii="Times New Roman" w:hAnsi="Times New Roman" w:eastAsia="Times New Roman"/>
      <w:color w:val="000000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0" w:after="12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19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CMK 141/1-l Ev Hapsi Sonrası Tazminat Komisyonu Başvuru Dilekçesi</dc:title>
  <dc:subject>Ev hapsi veya bağımlılık tedbiri sonrası KYOK ya da beraat nedeniyle tazminat başvurusu</dc:subject>
  <dc:creator>Av. Halil Bakırcı</dc:creator>
  <cp:keywords>CMK 141/1-l, ev hapsi, beraat, KYOK, Tazminat Komisyonu, dilekçe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