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b/>
        </w:rPr>
        <w:t>[.....] CEZA MAHKEMESİNE</w:t>
      </w:r>
    </w:p>
    <w:p>
      <w:pPr>
        <w:keepLines/>
      </w:pPr>
      <w:r>
        <w:rPr>
          <w:rFonts w:ascii="Times New Roman" w:hAnsi="Times New Roman" w:eastAsia="Times New Roman"/>
          <w:b/>
        </w:rPr>
        <w:t xml:space="preserve">DOSYA NO: </w:t>
      </w:r>
      <w:r>
        <w:rPr>
          <w:rFonts w:ascii="Times New Roman" w:hAnsi="Times New Roman" w:eastAsia="Times New Roman"/>
        </w:rPr>
        <w:t>[Esas numarası]</w:t>
      </w:r>
    </w:p>
    <w:p>
      <w:pPr>
        <w:keepLines/>
      </w:pPr>
      <w:r>
        <w:rPr>
          <w:rFonts w:ascii="Times New Roman" w:hAnsi="Times New Roman" w:eastAsia="Times New Roman"/>
          <w:b/>
        </w:rPr>
        <w:t xml:space="preserve">SANIK: </w:t>
      </w:r>
      <w:r>
        <w:rPr>
          <w:rFonts w:ascii="Times New Roman" w:hAnsi="Times New Roman" w:eastAsia="Times New Roman"/>
        </w:rPr>
        <w:t>[Ad-soyad, T.C. kimlik no, adres]</w:t>
      </w:r>
    </w:p>
    <w:p>
      <w:pPr>
        <w:keepLines/>
      </w:pPr>
      <w:r>
        <w:rPr>
          <w:rFonts w:ascii="Times New Roman" w:hAnsi="Times New Roman" w:eastAsia="Times New Roman"/>
          <w:b/>
        </w:rPr>
        <w:t xml:space="preserve">MÜDAFİİ: </w:t>
      </w:r>
      <w:r>
        <w:rPr>
          <w:rFonts w:ascii="Times New Roman" w:hAnsi="Times New Roman" w:eastAsia="Times New Roman"/>
        </w:rPr>
        <w:t>[Avukat, baro ve sicil, adres]</w:t>
      </w:r>
    </w:p>
    <w:p>
      <w:pPr>
        <w:keepLines/>
      </w:pPr>
      <w:r>
        <w:rPr>
          <w:rFonts w:ascii="Times New Roman" w:hAnsi="Times New Roman" w:eastAsia="Times New Roman"/>
          <w:b/>
        </w:rPr>
        <w:t xml:space="preserve">KONU: </w:t>
      </w:r>
      <w:r>
        <w:rPr>
          <w:rFonts w:ascii="Times New Roman" w:hAnsi="Times New Roman" w:eastAsia="Times New Roman"/>
        </w:rPr>
        <w:t>Müdafi hazır bulunmaksızın kollukça alınan [tarih] tarihli ifadenin CMK m.148/4 gereğince hükme esas alınmaması, CMK m.213 kapsamında çelişki gidermek amacıyla okunmaması ve bu hususun duruşma tutanağına geçirilmesi talebidir.</w:t>
      </w:r>
    </w:p>
    <w:p>
      <w:pPr>
        <w:pStyle w:val="Heading1"/>
        <w:keepNext/>
        <w:keepLines/>
      </w:pPr>
      <w:r>
        <w:rPr>
          <w:rFonts w:ascii="Times New Roman" w:hAnsi="Times New Roman" w:eastAsia="Times New Roman"/>
        </w:rPr>
        <w:t>AÇIKLAMALAR</w:t>
      </w:r>
    </w:p>
    <w:p>
      <w:pPr>
        <w:keepLines/>
        <w:ind w:firstLine="173"/>
      </w:pPr>
      <w:r>
        <w:rPr>
          <w:rFonts w:ascii="Times New Roman" w:hAnsi="Times New Roman" w:eastAsia="Times New Roman"/>
        </w:rPr>
        <w:t>1. Dosyada bulunan [kolluk birimi] tarafından düzenlenmiş [tarih, saat ve tutanak adı] başlıklı ifade tutanağı, sanığın müdafii hazır bulunmadan alınmıştır. Tutanakta müdafiin adı ve imzası bulunmamaktadır / müdafi talebine ilişkin kayıt şöyledir: [gerçek tutanak cümlesi]. İşlemin kolluk tarafından yapıldığını ve katılanları gösteren tutanak örneği Ek-1'dedir.</w:t>
      </w:r>
    </w:p>
    <w:p>
      <w:pPr>
        <w:keepLines/>
        <w:ind w:firstLine="173"/>
      </w:pPr>
      <w:r>
        <w:rPr>
          <w:rFonts w:ascii="Times New Roman" w:hAnsi="Times New Roman" w:eastAsia="Times New Roman"/>
        </w:rPr>
        <w:t>2. Sanık bu kolluk ifadesini hâkim veya mahkeme huzurunda doğrulamamıştır. [Sorgu/duruşma] tarihli tutanağın [sayfa-paragraf] bölümünde sanığın beyanı '[gerçek beyanı aynen veya kısa ve doğru biçimde yazın]' şeklindedir. Önceki kolluk anlatımının bütünüyle benimsendiğine ilişkin açık bir beyan yoktur; aksine [reddetme, düzeltme veya açıklama] kaydı bulunmaktadır.</w:t>
      </w:r>
    </w:p>
    <w:p>
      <w:pPr>
        <w:keepLines/>
        <w:ind w:firstLine="173"/>
      </w:pPr>
      <w:r>
        <w:rPr>
          <w:rFonts w:ascii="Times New Roman" w:hAnsi="Times New Roman" w:eastAsia="Times New Roman"/>
        </w:rPr>
        <w:t>3. 5271 sayılı Ceza Muhakemesi Kanunu m.148/4, müdafi hazır bulunmaksızın kollukça alınan ifadenin hâkim veya mahkeme huzurunda şüpheli ya da sanık tarafından doğrulanmadıkça hükme esas alınamayacağını açıkça düzenler. Somut tutanak yönünden hükmün aradığı 'kolluk ifadesi', 'müdafiin yokluğu' ve 'hâkim/mahkeme huzurunda doğrulanmama' koşulları birlikte gerçekleşmiştir.</w:t>
      </w:r>
    </w:p>
    <w:p>
      <w:pPr>
        <w:keepLines/>
        <w:ind w:firstLine="173"/>
      </w:pPr>
      <w:r>
        <w:rPr>
          <w:rFonts w:ascii="Times New Roman" w:hAnsi="Times New Roman" w:eastAsia="Times New Roman"/>
        </w:rPr>
        <w:t>4. Bu talep, kolluk tutanağının dosyada fiziksel olarak bulunmadığı veya bütün yönleriyle yok sayılması gerektiği iddiasına dayanmamaktadır. İstenen sonuç, kanunun açıkça belirlediği delil kullanma sınırının uygulanması; tutanağın mahkûmiyet, ceza tayini veya başka bir aleyhe hüküm unsuruna dayanak yapılmamasıdır.</w:t>
      </w:r>
    </w:p>
    <w:p>
      <w:pPr>
        <w:keepLines/>
        <w:ind w:firstLine="173"/>
      </w:pPr>
      <w:r>
        <w:rPr>
          <w:rFonts w:ascii="Times New Roman" w:hAnsi="Times New Roman" w:eastAsia="Times New Roman"/>
        </w:rPr>
        <w:t>5. CMK m.213 uyarınca çelişki halinde okunabilecek önceki beyanlar; hâkim veya mahkeme huzurundaki açıklamalar, Cumhuriyet savcısı tarafından alınan ifade ve müdafiin hazır bulunduğu kolluk ifadesidir. Ek-1'deki müdafisiz kolluk ifadesi bu sınırlı sayımdaki koşulu taşımadığından, duruşmadaki savunma ile çelişki giderme amacıyla okunmaması gerekir.</w:t>
      </w:r>
    </w:p>
    <w:p>
      <w:pPr>
        <w:keepLines/>
        <w:ind w:firstLine="173"/>
      </w:pPr>
      <w:r>
        <w:rPr>
          <w:rFonts w:ascii="Times New Roman" w:hAnsi="Times New Roman" w:eastAsia="Times New Roman"/>
        </w:rPr>
        <w:t>6. İddianame / esas hakkındaki mütalaa / dosyadaki [belge adı], müdafisiz kolluk ifadesinin [sayfa ve paragraf] bölümünü sanık aleyhine kullanmaktadır. Bu atıf, CMK m.148/4'teki doğrulama koşulunun yerine geçmez. Savcılık veya başka bir makamın tutanağı aktarması da hâkim ya da mahkeme huzurunda sanığın açık doğrulaması değildir.</w:t>
      </w:r>
    </w:p>
    <w:p>
      <w:pPr>
        <w:keepLines/>
        <w:ind w:firstLine="173"/>
      </w:pPr>
      <w:r>
        <w:rPr>
          <w:rFonts w:ascii="Times New Roman" w:hAnsi="Times New Roman" w:eastAsia="Times New Roman"/>
        </w:rPr>
        <w:t>7. Mahkemenin sanığın sonraki beyanını kısmi doğrulama olarak değerlendirmesi ihtimalinde, hangi kolluk cümlesinin hangi hâkim/mahkeme beyanıyla benimsendiğinin açıkça belirlenmesini talep ederiz. [Varsa: Sanık yalnız ... olgusunu kabul etmiş; ... şeklindeki kolluk cümlesini reddetmiş/düzeltmiştir.] Sınırlı bir olgunun kabulü, kolluk tutanağının tamamının doğrulandığı anlamına gelmez.</w:t>
      </w:r>
    </w:p>
    <w:p>
      <w:pPr>
        <w:keepLines/>
        <w:ind w:firstLine="173"/>
      </w:pPr>
      <w:r>
        <w:rPr>
          <w:rFonts w:ascii="Times New Roman" w:hAnsi="Times New Roman" w:eastAsia="Times New Roman"/>
        </w:rPr>
        <w:t>8. [Varsa ayrıca yazın:] İfade sırasında müdafi talebinin karşılanmaması, zorunlu müdafilik koşulunun bulunması, hakların usulünce bildirilmemesi veya CMK m.148/1-3'teki yasak yöntem iddiası ayrı hukuki meselelerdir. Bu dosyada ayrıca [gerçek ihlal ve dayanak belge] bulunmaktadır. Bu ek iddialar, m.148/4'teki özel kullanma yasağından bağımsız olarak değerlendirilmelidir.</w:t>
      </w:r>
    </w:p>
    <w:p>
      <w:pPr>
        <w:keepLines/>
        <w:ind w:firstLine="173"/>
      </w:pPr>
      <w:r>
        <w:rPr>
          <w:rFonts w:ascii="Times New Roman" w:hAnsi="Times New Roman" w:eastAsia="Times New Roman"/>
        </w:rPr>
        <w:t>9. CMK m.217 uyarınca hüküm ancak duruşmaya getirilen ve huzurda tartışılan, hukuka uygun biçimde elde edilmiş delillere dayanabilir. Müdafisiz kolluk ifadesi dışlandıktan sonra isnat, kalan deliller üzerinden ayrı ayrı değerlendirilmelidir. Sanığın mahkûmiyetine yeterli başka delil bulunmadığı yönündeki savunmalarımız saklıdır.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m.147, 148/4, 206, 213, 217 ve ilgili diğer hükümler; Türkiye Cumhuriyeti Anayasası m.36 ve ilgili mevzuat.</w:t>
      </w:r>
    </w:p>
    <w:p>
      <w:pPr>
        <w:pStyle w:val="Heading1"/>
        <w:keepNext/>
        <w:keepLines/>
      </w:pPr>
      <w:r>
        <w:rPr>
          <w:rFonts w:ascii="Times New Roman" w:hAnsi="Times New Roman" w:eastAsia="Times New Roman"/>
        </w:rPr>
        <w:t>DELİLLER</w:t>
      </w:r>
    </w:p>
    <w:p>
      <w:r>
        <w:rPr>
          <w:rFonts w:ascii="Times New Roman" w:hAnsi="Times New Roman" w:eastAsia="Times New Roman"/>
        </w:rPr>
        <w:t>[Tarih] tarihli kolluk ifade tutanağı; müdafi görevlendirme/talep kayıtları; yakalama ve gözaltı evrakı; hâkim sorgu tutanağı; bütün duruşma tutanakları ve SEGBİS kayıtları; iddianame; esas hakkındaki mütalaa; UYAP evrak işlem kayıtları; gerektiğinde kolluk personeli ve diğer ilgililere ilişkin kayıtlar; her türlü yasal delil.</w:t>
      </w:r>
    </w:p>
    <w:p>
      <w:pPr>
        <w:pStyle w:val="Heading1"/>
        <w:keepNext/>
        <w:keepLines/>
      </w:pPr>
      <w:r>
        <w:rPr>
          <w:rFonts w:ascii="Times New Roman" w:hAnsi="Times New Roman" w:eastAsia="Times New Roman"/>
        </w:rPr>
        <w:t>SONUÇ VE İSTEM</w:t>
      </w:r>
    </w:p>
    <w:p>
      <w:pPr>
        <w:keepLines/>
        <w:ind w:firstLine="173"/>
      </w:pPr>
      <w:r>
        <w:rPr>
          <w:rFonts w:ascii="Times New Roman" w:hAnsi="Times New Roman" w:eastAsia="Times New Roman"/>
        </w:rPr>
        <w:t>Açıklanan nedenlerle; (1) [tarih] tarihli müdafisiz kolluk ifadesinin CMK m.148/4 gereğince sanık tarafından hâkim veya mahkeme huzurunda doğrulanmadığının saptanmasına, (2) bu ifadenin hükme esas alınmamasına ve CMK m.213 kapsamında çelişki gidermek amacıyla okunmamasına, (3) savcılık makamının ve diğer tarafların bu ifadeye dayanan değerlendirmelerine itibar edilmemesine, (4) talebimiz ile verilen ara kararın duruşma tutanağına açıkça geçirilmesine, (5) hüküm kurulurken kalan delillerin bağımsız ve ayrı değerlendirilmesine karar verilmesini saygıyla arz ve talep ederiz. [Tarih]</w:t>
      </w:r>
    </w:p>
    <w:p>
      <w:pPr>
        <w:keepLines/>
        <w:jc w:val="right"/>
      </w:pPr>
      <w:r>
        <w:rPr>
          <w:rFonts w:ascii="Times New Roman" w:hAnsi="Times New Roman" w:eastAsia="Times New Roman"/>
          <w:b/>
        </w:rPr>
        <w:t>[Sanık / müdafii]</w:t>
        <w:br/>
        <w:t>[Ad-soyad]</w:t>
        <w:br/>
        <w:t>[İmza / E-imza]</w:t>
      </w:r>
    </w:p>
    <w:p>
      <w:pPr>
        <w:pStyle w:val="Heading1"/>
        <w:keepNext/>
        <w:keepLines/>
      </w:pPr>
      <w:r>
        <w:rPr>
          <w:rFonts w:ascii="Times New Roman" w:hAnsi="Times New Roman" w:eastAsia="Times New Roman"/>
        </w:rPr>
        <w:t>EKLER</w:t>
      </w:r>
    </w:p>
    <w:p>
      <w:pPr>
        <w:keepLines/>
      </w:pPr>
      <w:r>
        <w:rPr>
          <w:rFonts w:ascii="Times New Roman" w:hAnsi="Times New Roman" w:eastAsia="Times New Roman"/>
        </w:rPr>
        <w:t>1. Müdafi hazır bulunmadan alınan kolluk ifade tutanağı</w:t>
      </w:r>
    </w:p>
    <w:p>
      <w:pPr>
        <w:keepLines/>
      </w:pPr>
      <w:r>
        <w:rPr>
          <w:rFonts w:ascii="Times New Roman" w:hAnsi="Times New Roman" w:eastAsia="Times New Roman"/>
        </w:rPr>
        <w:t>2. Müdafi talebi/görevlendirmesi ve ifade saati kayıtları</w:t>
      </w:r>
    </w:p>
    <w:p>
      <w:pPr>
        <w:keepLines/>
      </w:pPr>
      <w:r>
        <w:rPr>
          <w:rFonts w:ascii="Times New Roman" w:hAnsi="Times New Roman" w:eastAsia="Times New Roman"/>
        </w:rPr>
        <w:t>3. Hâkim sorgu tutanağı ve ilgili duruşma tutanakları</w:t>
      </w:r>
    </w:p>
    <w:p>
      <w:pPr>
        <w:keepLines/>
      </w:pPr>
      <w:r>
        <w:rPr>
          <w:rFonts w:ascii="Times New Roman" w:hAnsi="Times New Roman" w:eastAsia="Times New Roman"/>
        </w:rPr>
        <w:t>4. İddianame veya mütalaanın kolluk ifadesine dayanan sayfaları</w:t>
      </w:r>
    </w:p>
    <w:p>
      <w:pPr>
        <w:keepLines/>
      </w:pPr>
      <w:r>
        <w:rPr>
          <w:rFonts w:ascii="Times New Roman" w:hAnsi="Times New Roman" w:eastAsia="Times New Roman"/>
        </w:rPr>
        <w:t>5. Varsa SEGBİS çözüm tutanağı ve diğer doğrulama kayıtları</w:t>
      </w:r>
    </w:p>
    <w:p>
      <w:pPr>
        <w:keepLines/>
      </w:pPr>
      <w:r>
        <w:rPr>
          <w:rFonts w:ascii="Times New Roman" w:hAnsi="Times New Roman" w:eastAsia="Times New Roman"/>
        </w:rPr>
        <w:t>6. Vekâletname ve ilgili diğer belgeler</w:t>
      </w:r>
    </w:p>
    <w:p>
      <w:pPr>
        <w:keepLines/>
      </w:pPr>
      <w:r>
        <w:rPr>
          <w:rFonts w:ascii="Times New Roman" w:hAnsi="Times New Roman" w:eastAsia="Times New Roman"/>
          <w:b/>
        </w:rPr>
        <w:t xml:space="preserve">KULLANIM NOTU: </w:t>
      </w:r>
      <w:r>
        <w:rPr>
          <w:rFonts w:ascii="Times New Roman" w:hAnsi="Times New Roman" w:eastAsia="Times New Roman"/>
        </w:rPr>
        <w:t>Köşeli alanları gerçek dosya kayıtlarıyla doldurun; dosyada bulunmayan müdafi talebi, baskı, doğrulamama veya delil sonucu üretmeyin. Bu örnek ilk derece kovuşturmasındaki talep içindir. Hüküm verilmişse kanun yolu türü, süre ve merciye uygun ayrı dilekçe hazırlanmalıdır.</w:t>
      </w:r>
    </w:p>
    <w:sectPr w:rsidR="00FC693F" w:rsidRPr="0006063C" w:rsidSect="00034616">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28" w:lineRule="auto"/>
    </w:pPr>
    <w:rPr>
      <w:rFonts w:ascii="Times New Roman" w:hAnsi="Times New Roman" w:eastAsia="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12"/>
      <w:outlineLvl w:val="0"/>
    </w:pPr>
    <w:rPr>
      <w:rFonts w:asciiTheme="majorHAnsi" w:eastAsiaTheme="majorEastAsia" w:hAnsiTheme="majorHAnsi" w:cstheme="majorBidi" w:ascii="Times New Roman" w:hAnsi="Times New Roman" w:eastAsia="Times New Roman"/>
      <w:b/>
      <w:bCs/>
      <w:color w:val="000000"/>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Times New Roman" w:hAnsi="Times New Roman" w:eastAsia="Times New Roman"/>
      <w:b/>
      <w:color w:val="000000"/>
      <w:spacing w:val="5"/>
      <w:kern w:val="28"/>
      <w:sz w:val="2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148/4 Müdafisiz Kolluk İfadesinin Hükme Esas Alınmaması Talep Dilekçesi</dc:title>
  <dc:subject>Müdafi hazır bulunmaksızın kollukça alınan ve hâkim veya mahkeme huzurunda doğrulanmayan ifadenin hükme esas alınmaması talebi</dc:subject>
  <dc:creator>Av. Halil Bakırcı</dc:creator>
  <cp:keywords>CMK 148/4, müdafisiz kolluk ifadesi, hükme esas alınmama, CMK 213, savunma dilekçesi</cp:keywords>
  <dc:description>generated by python-docx</dc:description>
  <cp:lastModifiedBy/>
  <cp:revision>1</cp:revision>
  <dcterms:created xsi:type="dcterms:W3CDTF">2013-12-23T23:15:00Z</dcterms:created>
  <dcterms:modified xsi:type="dcterms:W3CDTF">2013-12-23T23:15:00Z</dcterms:modified>
  <cp:category/>
</cp:coreProperties>
</file>