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soruşturma numarası]</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İLGİLİ İŞLEM: </w:t>
      </w:r>
      <w:r>
        <w:rPr>
          <w:rFonts w:ascii="Times New Roman" w:hAnsi="Times New Roman" w:eastAsia="Times New Roman"/>
        </w:rPr>
        <w:t>[Tarih-saat, yer, sulh ceza hâkimliği ve kolluk birimi; yalnız bilinen gerçek kayıtlar]</w:t>
      </w:r>
    </w:p>
    <w:p>
      <w:pPr>
        <w:keepNext w:val="0"/>
        <w:keepLines/>
      </w:pPr>
      <w:r>
        <w:rPr>
          <w:rFonts w:ascii="Times New Roman" w:hAnsi="Times New Roman" w:eastAsia="Times New Roman"/>
          <w:b/>
        </w:rPr>
        <w:t xml:space="preserve">KONU: </w:t>
      </w:r>
      <w:r>
        <w:rPr>
          <w:rFonts w:ascii="Times New Roman" w:hAnsi="Times New Roman" w:eastAsia="Times New Roman"/>
        </w:rPr>
        <w:t>CMK m.163 kapsamında yapıldığı bildirilen sulh ceza hâkimi ve kolluk soruşturma işlemlerinin kanuni dayanağı ile karar, emir, tutanak ve zaman kayıtlarının araştırılarak mevcut soruşturma dosyasına alınması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[Olay tarihi] tarihinde [açık yer] adresinde meydana gelen ve yukarıdaki soruşturmayla bağlantılı olay sırasında [işlem türü] işleminin sulh ceza hâkiminin emri veya bizzat yürüttüğü soruşturma faaliyeti kapsamında yapıldığı [tutanak, bildirim, ifade, kamera veya başka gerçek kayıt] üzerinden anlaşılmıştır. Başvuru, bu işlem hiç yapılmamışken varsayımsal kayıt oluşturulmasına değil; gerçekten mevcut olduğu bildirilen kayıtların doğru soruşturma dosyasında bir araya getirilmesine yöneliktir.</w:t>
      </w:r>
    </w:p>
    <w:p>
      <w:pPr>
        <w:keepNext w:val="0"/>
        <w:keepLines/>
        <w:ind w:firstLine="230"/>
      </w:pPr>
      <w:r>
        <w:rPr>
          <w:rFonts w:ascii="Times New Roman" w:hAnsi="Times New Roman" w:eastAsia="Times New Roman"/>
        </w:rPr>
        <w:t>2. CMK m.163/1, yalnız suçüstü hâli ile gecikmesinde sakınca bulunan hâllerde ve ayrıca Cumhuriyet savcısına erişilememesi veya olayın genişliği itibarıyla Cumhuriyet savcısının iş gücünün aşılması koşullarından birinin bulunması durumunda sulh ceza hâkiminin bütün soruşturma işlemlerini yapabilmesine imkân tanır. Bu hüküm, başvurucunun dilediği dosyada sulh ceza hâkimini doğrudan soruşturma makamı olarak seçmesine yarayan genel bir yol değildir.</w:t>
      </w:r>
    </w:p>
    <w:p>
      <w:pPr>
        <w:keepNext w:val="0"/>
        <w:keepLines/>
        <w:ind w:firstLine="230"/>
      </w:pPr>
      <w:r>
        <w:rPr>
          <w:rFonts w:ascii="Times New Roman" w:hAnsi="Times New Roman" w:eastAsia="Times New Roman"/>
        </w:rPr>
        <w:t>3. Somut olay bakımından dosyaya alınması istenen ilk kayıt, m.163 yetkisinin hangi olgulara dayandırıldığını gösteren mevcut karar, görevlendirme, yazı veya tutanaktır. Suçüstü hâlinin hangi fiil ve zaman bilgisine; gecikme tehlikesinin hangi kayıp veya değişiklik riskine; savcıya erişilememenin hangi arama, bildirim veya nöbet kaydına ya da olay genişliğinin hangi işlem ve personel yüküne dayandığı, mevcut resmî kayıtlardan anlaşılabildiği ölçüde dosyada görünür olmalıdır. Bilinmeyen neden veya kayıt dilekçede olmuş gibi yazılmamıştır.</w:t>
      </w:r>
    </w:p>
    <w:p>
      <w:pPr>
        <w:keepNext w:val="0"/>
        <w:keepLines/>
        <w:ind w:firstLine="230"/>
      </w:pPr>
      <w:r>
        <w:rPr>
          <w:rFonts w:ascii="Times New Roman" w:hAnsi="Times New Roman" w:eastAsia="Times New Roman"/>
        </w:rPr>
        <w:t>4. İkinci kayıt grubu, sulh ceza hâkiminin bizzat yaptığı soruşturma işlemlerine ilişkindir. [İfade/sorgu, tanık dinleme, keşif, muhafaza, tespit veya başka işlem] hakkında işlem tarihi, başlama ve bitiş saati, yer, hazır kişiler, zabıt kâtibi, kullanılan teknik araçlar, elde edilen veya elde edilemeyen materyal, düzenlenen ekler ve imzalar araştırılmalıdır. Her işlem kendi özel kanuni şartları saklı kalmak üzere değerlendirilmelidir.</w:t>
      </w:r>
    </w:p>
    <w:p>
      <w:pPr>
        <w:keepNext w:val="0"/>
        <w:keepLines/>
        <w:ind w:firstLine="230"/>
      </w:pPr>
      <w:r>
        <w:rPr>
          <w:rFonts w:ascii="Times New Roman" w:hAnsi="Times New Roman" w:eastAsia="Times New Roman"/>
        </w:rPr>
        <w:t>5. Üçüncü kayıt grubu, CMK m.163/2 uyarınca hâkim tarafından kolluk amir ve memurlarına emredilen tedbir ve araştırmalardır. Emrin tarihi ve saati, emri veren makam, muhatap birim, emrin kapsamı, kolluğun işe başlama ve bitirme zamanı, yaptığı araştırma, aldığı tedbir, elde ettiği materyal, teslim zinciri ve sonuç raporu ayrı ayrı belirlenmelidir. Savcının CMK m.161/3 kapsamındaki sözlü emri ile hâkimin m.163/2 kapsamındaki emri birbirine karıştırılmamalıdır.</w:t>
      </w:r>
    </w:p>
    <w:p>
      <w:pPr>
        <w:keepNext w:val="0"/>
        <w:keepLines/>
        <w:ind w:firstLine="230"/>
      </w:pPr>
      <w:r>
        <w:rPr>
          <w:rFonts w:ascii="Times New Roman" w:hAnsi="Times New Roman" w:eastAsia="Times New Roman"/>
        </w:rPr>
        <w:t>6. CMK m.169/2 gereğince her soruşturma işlemi tutanağa bağlanır. Aynı maddenin birinci, üçüncü ve dördüncü fıkralarındaki yazman, imza, yer, tarih, başlama ve bitiş saati ile katılan kişilerin adları yönünden mevcut kayıtların tam olup olmadığı araştırılmalıdır. Eksik veya okunamayan kayıt varsa bunun kaynağından onaylı örneği istenmeli; mevcut olmayan belge sonradan düzenlenmiş gibi sunulmamalıdır.</w:t>
      </w:r>
    </w:p>
    <w:p>
      <w:pPr>
        <w:keepNext w:val="0"/>
        <w:keepLines/>
        <w:ind w:firstLine="230"/>
      </w:pPr>
      <w:r>
        <w:rPr>
          <w:rFonts w:ascii="Times New Roman" w:hAnsi="Times New Roman" w:eastAsia="Times New Roman"/>
        </w:rPr>
        <w:t>7. Dosyada hâlen [tutanak adı/tarihi] bulunduğu hâlde [hâkim emri, kolluk sonuç raporu, teslim kaydı, fotoğraf listesi veya başka ek] görünmemektedir. Eksikliğin önemi şudur: [işlemin hangi makamca, hangi zamanda, hangi koşulla veya hangi materyal üzerinde yapıldığı] denetlenememektedir. Talep, genel ve sınırsız bir kurum arşivi incelemesi değil; belirli olay, dar tarih-saat aralığı, belirtilen hâkimlik ve kolluk birimine ait kayıtlarla sınırlıdır.</w:t>
      </w:r>
    </w:p>
    <w:p>
      <w:pPr>
        <w:keepNext w:val="0"/>
        <w:keepLines/>
        <w:ind w:firstLine="230"/>
      </w:pPr>
      <w:r>
        <w:rPr>
          <w:rFonts w:ascii="Times New Roman" w:hAnsi="Times New Roman" w:eastAsia="Times New Roman"/>
        </w:rPr>
        <w:t>8. Talep eden şüpheli ise CMK m.147/1-f kapsamındaki somut delillerin toplanmasını isteme ve lehine hususları ileri sürme imkânı; mağdur veya şikâyetçi ise CMK m.234/1-a-1 kapsamındaki delillerin toplanmasını isteme hakkı somut başvurunun dayanağıdır. Dosyayı inceleme veya örnek alma ise CMK m.153 ile soruşturmanın gizliliği ve başvurucunun sıfatına göre ayrıca değerlendirilir; bu dilekçe sınırsız örnek alma hakkı ileri sürmez.</w:t>
      </w:r>
    </w:p>
    <w:p>
      <w:pPr>
        <w:keepNext w:val="0"/>
        <w:keepLines/>
        <w:ind w:firstLine="230"/>
      </w:pPr>
      <w:r>
        <w:rPr>
          <w:rFonts w:ascii="Times New Roman" w:hAnsi="Times New Roman" w:eastAsia="Times New Roman"/>
        </w:rPr>
        <w:t>9. CMK m.163'ün koşullarının bulunup bulunmadığına ve işlemlerin hukuki sonucuna yetkili makam karar verir. Sırf bir kayıt eksikliği tespit edilmesi, ilgili işlemi kendiliğinden yok veya hukuka aykırı kılmaz. Bununla birlikte dayanak, makam, zaman çizelgesi, emir ve tutanakların dosyada bulunması; işlem zincirinin, savunma haklarının ve delilin elde ediliş biçiminin denetlenebilmesi için gereklidir.</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m.147/1-f veya 234/1-a-1 (başvurucunun sıfatına göre), 153, 160, 161, 163, 169 ve somut işlemin türüne ilişkin diğer hükümler.</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Sulh ceza hâkimi veya kolluk işlemini gösteren mevcut tutanak/karar/bildirim örneği</w:t>
      </w:r>
    </w:p>
    <w:p>
      <w:pPr>
        <w:keepNext w:val="0"/>
        <w:keepLines/>
      </w:pPr>
      <w:r>
        <w:rPr>
          <w:rFonts w:ascii="Times New Roman" w:hAnsi="Times New Roman" w:eastAsia="Times New Roman"/>
        </w:rPr>
        <w:t>2. Olay, ihbar, suçüstü, nöbet, haber merkezi ve savcıya erişim kayıtları (somut olayda mevcutsa)</w:t>
      </w:r>
    </w:p>
    <w:p>
      <w:pPr>
        <w:keepNext w:val="0"/>
        <w:keepLines/>
      </w:pPr>
      <w:r>
        <w:rPr>
          <w:rFonts w:ascii="Times New Roman" w:hAnsi="Times New Roman" w:eastAsia="Times New Roman"/>
        </w:rPr>
        <w:t>3. Hâkim emri, kolluk görev ve sonuç raporları, teslim-muhafaza zinciri kayıtları</w:t>
      </w:r>
    </w:p>
    <w:p>
      <w:pPr>
        <w:keepNext w:val="0"/>
        <w:keepLines/>
      </w:pPr>
      <w:r>
        <w:rPr>
          <w:rFonts w:ascii="Times New Roman" w:hAnsi="Times New Roman" w:eastAsia="Times New Roman"/>
        </w:rPr>
        <w:t>4. İşlem fotoğrafları, kamera kayıtları, kroki, materyal listesi ve diğer gerçek ekler</w:t>
      </w:r>
    </w:p>
    <w:p>
      <w:pPr>
        <w:keepNext w:val="0"/>
        <w:keepLines/>
      </w:pPr>
      <w:r>
        <w:rPr>
          <w:rFonts w:ascii="Times New Roman" w:hAnsi="Times New Roman" w:eastAsia="Times New Roman"/>
        </w:rPr>
        <w:t>5. Eksikliğin dosyanın hangi bölümünde bulunduğunu gösteren UYAP evrak listesi veya inceleme notu</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[tarih-saat ve yer] olayında CMK m.163 kapsamında yapıldığı bildirilen işlemin hangi somut suçüstü, gecikme, savcıya erişilememe veya olay genişliği kaydına dayandığının araştırılmasına, (2) sulh ceza hâkiminin yaptığı işlemlere ait karar, emir ve tutanaklar ile bütün eklerinin ilgili hâkimlikten istenerek soruşturma dosyasına alınmasına, (3) m.163/2 kapsamında kolluğa verilen emirler ile görev, zaman, sonuç, teslim ve muhafaza kayıtlarının ilgili kolluk biriminden getirtilmesine, (4) CMK m.169 uyarınca işlem yeri, tarihi, başlangıç-bitiş saatleri, hazır kişiler, imzalar ve ekler yönünden kayıt zincirinin dosyada gösterilmesine, (5) mevcut olmayan kayıt varmış gibi oluşturulmaksızın bulunamayan veya düzenlenmediği anlaşılan belgenin durumunun tutanakla belirlenmesine, (6) istem hakkında verilen kararın mevcut soruşturma dosyasına konulmasına ve kanuni sınırlar içinde sonucundan tarafımıza bilgi verilmesine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ve kullanılmayan seçenekleri silin. CMK m.163'ü doğrudan sulh ceza hâkiminden soruşturma başlatma hakkı gibi sunmayın. Suçüstü, gecikme, savcıya erişilememe, olay genişliği, hâkim emri veya kolluk işlemi hakkında görülmemiş kayıt ve sonuç üretmeyin.</w:t>
      </w:r>
    </w:p>
    <w:sectPr w:rsidR="00FC693F" w:rsidRPr="0006063C" w:rsidSect="00034616">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23"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0" w:after="20"/>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Times New Roman" w:hAnsi="Times New Roman" w:eastAsia="Times New Roman"/>
      <w:b/>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163 Hâkim ve Kolluk İşlem Kayıtlarının Dosyaya Alınması Dilekçesi</dc:title>
  <dc:subject>CMK 163 kapsamında yapılmış sulh ceza hâkimi ve kolluk soruşturma işlemlerinin kayıtlarının mevcut dosyaya alınması talebi</dc:subject>
  <dc:creator>Av. Halil Bakırcı</dc:creator>
  <cp:keywords>CMK 163, sulh ceza hâkimi, kolluk emri, soruşturma tutanağı, dosyaya alma</cp:keywords>
  <dc:description>generated by python-docx</dc:description>
  <cp:lastModifiedBy/>
  <cp:revision>1</cp:revision>
  <dcterms:created xsi:type="dcterms:W3CDTF">2013-12-23T23:15:00Z</dcterms:created>
  <dcterms:modified xsi:type="dcterms:W3CDTF">2013-12-23T23:15:00Z</dcterms:modified>
  <cp:category/>
</cp:coreProperties>
</file>