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CMK 182 Duruşmanın Kapalı Yapılması Talep Dilekçesi</w:t>
      </w:r>
    </w:p>
    <w:p>
      <w:pPr>
        <w:spacing w:after="120"/>
        <w:jc w:val="center"/>
      </w:pPr>
      <w:r>
        <w:rPr>
          <w:b/>
          <w:sz w:val="22"/>
        </w:rPr>
        <w:t>[İLGİLİ CEZA MAHKEMESİNE]</w:t>
      </w:r>
    </w:p>
    <w:p>
      <w:pPr>
        <w:spacing w:after="40" w:line="240" w:lineRule="auto"/>
      </w:pPr>
      <w:r>
        <w:rPr>
          <w:b/>
        </w:rPr>
        <w:t xml:space="preserve">ESAS NO: </w:t>
      </w:r>
      <w:r>
        <w:t>[Gerçek esas numarası]</w:t>
      </w:r>
    </w:p>
    <w:p>
      <w:pPr>
        <w:spacing w:after="40" w:line="240" w:lineRule="auto"/>
      </w:pPr>
      <w:r>
        <w:rPr>
          <w:b/>
        </w:rPr>
        <w:t xml:space="preserve">TALEPTE BULUNAN: </w:t>
      </w:r>
      <w:r>
        <w:t>[Sanık / katılan / suçtan zarar gören; ad-soyad ve tebligat adresi]</w:t>
      </w:r>
    </w:p>
    <w:p>
      <w:pPr>
        <w:spacing w:after="40" w:line="240" w:lineRule="auto"/>
      </w:pPr>
      <w:r>
        <w:rPr>
          <w:b/>
        </w:rPr>
        <w:t xml:space="preserve">MÜDAFİİ / VEKİLİ: </w:t>
      </w:r>
      <w:r>
        <w:t>Av. [Ad-soyad, baro-sicil ve adres; varsa]</w:t>
      </w:r>
    </w:p>
    <w:p>
      <w:pPr>
        <w:spacing w:before="60" w:after="100"/>
      </w:pPr>
      <w:r>
        <w:rPr>
          <w:b/>
        </w:rPr>
        <w:t xml:space="preserve">KONU: </w:t>
      </w:r>
      <w:r>
        <w:t>[Tarih] tarihli duruşmada [belirli tanık, delil veya anlatım] bölümünün, genel ahlâkın / kamu güvenliğinin kesin olarak gerekli kılması nedeniyle CMK m.182/2 uyarınca kapalı yapılması; istemin görüşülmesinin CMK m.184 uyarınca kapalı yürütülmesi ve verilecek kararın nedenleriyle tutanağa geçirilmesi talebidir.</w:t>
      </w:r>
    </w:p>
    <w:p>
      <w:pPr>
        <w:pStyle w:val="Heading1"/>
        <w:keepNext/>
      </w:pPr>
      <w:r>
        <w:t>AÇIKLAMALAR</w:t>
      </w:r>
    </w:p>
    <w:p>
      <w:pPr>
        <w:spacing w:after="80" w:line="252" w:lineRule="auto"/>
        <w:ind w:left="29" w:firstLine="317"/>
      </w:pPr>
      <w:r>
        <w:rPr>
          <w:b/>
        </w:rPr>
        <w:t xml:space="preserve">1. </w:t>
      </w:r>
      <w:r>
        <w:t>Mahkemenizin yukarıda numarası yazılı dosyasında [dosyadaki sıfat] olarak yer almaktayım. [Tarih] tarihli oturumda [tanık/belge/olay bölümü] ele alınacaktır. Bu işlem, [ara karar, tebligat veya duruşma tutanağı] kaydında [sayfa/sıra] bilgisiyle gösterilmiştir.</w:t>
      </w:r>
    </w:p>
    <w:p>
      <w:pPr>
        <w:spacing w:after="80" w:line="252" w:lineRule="auto"/>
        <w:ind w:left="29" w:firstLine="317"/>
      </w:pPr>
      <w:r>
        <w:rPr>
          <w:b/>
        </w:rPr>
        <w:t xml:space="preserve">2. </w:t>
      </w:r>
      <w:r>
        <w:t>Açık oturumun doğuracağı risk [genel ahlâk/kamu güvenliği] yönündedir. Riskin somut dayanağı [belgenin adı, tarihi, düzenleyeni ve dosyadaki konumu] olup kayıt, [açık anlatımın hangi tehlikeyi nasıl doğuracağını gereksiz hassas ayrıntı vermeden açıklayın] hususunu göstermektedir. Kaynağı doğrulanmamış varsayım değil, ekteki gerçek kayıt esas alınmaktadır.</w:t>
      </w:r>
    </w:p>
    <w:p>
      <w:pPr>
        <w:spacing w:after="80" w:line="252" w:lineRule="auto"/>
        <w:ind w:left="29" w:firstLine="317"/>
      </w:pPr>
      <w:r>
        <w:rPr>
          <w:b/>
        </w:rPr>
        <w:t xml:space="preserve">3. </w:t>
      </w:r>
      <w:r>
        <w:t>Tehlike özellikle [kapalılık istenen işlem] sırasında ortaya çıkacaktır. [Salon düzeni, belirli kişinin çıkarılması, kayıt yasağının hatırlatılması veya başka dar önlem] tek başına yeterli değildir; çünkü [somut ve dosyaya bağlı neden]. Risk [işlem] tamamlandığında sona ereceğinden öncelikli talebimiz bütün dava değil, yalnız bu bölüm için kapalılıktır.</w:t>
      </w:r>
    </w:p>
    <w:p>
      <w:pPr>
        <w:spacing w:after="80" w:line="252" w:lineRule="auto"/>
        <w:ind w:left="29" w:firstLine="317"/>
      </w:pPr>
      <w:r>
        <w:rPr>
          <w:b/>
        </w:rPr>
        <w:t xml:space="preserve">4. </w:t>
      </w:r>
      <w:r>
        <w:t>CMK m.182/1 uyarınca duruşmanın açıklığı kuraldır. İkinci fıkradaki istisnanın dar uygulanması gerektiği gözetilerek talep; rahatsızlık veya genel gizlilik isteğine değil, [genel ahlâk/kamu güvenliği] bakımından kesin gerekliliği gösteren [somut kayıtlar] ve ölçülü kapsam ihtiyacına dayandırılmıştır.</w:t>
      </w:r>
    </w:p>
    <w:p>
      <w:pPr>
        <w:spacing w:after="80" w:line="252" w:lineRule="auto"/>
        <w:ind w:left="29" w:firstLine="317"/>
      </w:pPr>
      <w:r>
        <w:rPr>
          <w:b/>
        </w:rPr>
        <w:t xml:space="preserve">5. </w:t>
      </w:r>
      <w:r>
        <w:t>Kapalılık nedenini açık duruşmada ayrıntılı görüşmek, [korunmak istenen bilgiyi veya güvenlik riskini] daha karar verilmeden açığa çıkaracaktır. Bu nedenle açıklığın kaldırılması istemine ilişkin görüşmenin de CMK m.184 uyarınca kapalı yapılmasını talep ediyoruz.</w:t>
      </w:r>
    </w:p>
    <w:p>
      <w:pPr>
        <w:spacing w:after="80" w:line="252" w:lineRule="auto"/>
        <w:ind w:left="29" w:firstLine="317"/>
      </w:pPr>
      <w:r>
        <w:rPr>
          <w:b/>
        </w:rPr>
        <w:t xml:space="preserve">6. </w:t>
      </w:r>
      <w:r>
        <w:t>Karar verilirse kapalılığın [başlangıç işlemi] ile başlayıp [bitiş işlemi] sonunda kaldırılmasının; kapalı oturumda bulunmasına izin verilen kişilerin CMK m.187/1 uyarınca uyarılmasının; uyarı ile kararın somut neden ve kapsamının tutanağa yazılmasının uygun olacağını değerlendiriyoruz. Mahkemenin hazır bulunma konusundaki yetkisi saklıdır.</w:t>
      </w:r>
    </w:p>
    <w:p>
      <w:pPr>
        <w:spacing w:after="80" w:line="252" w:lineRule="auto"/>
        <w:ind w:left="29" w:firstLine="317"/>
      </w:pPr>
      <w:r>
        <w:rPr>
          <w:b/>
        </w:rPr>
        <w:t xml:space="preserve">7. </w:t>
      </w:r>
      <w:r>
        <w:t>Talebimiz delilin reddi, dosyanın tümden gizlenmesi veya hükmün açıklanmaması istemi değildir. CMK m.182/3 uyarınca kapalılık hakkındaki gerekçeli karar ile hükmün açık duruşmada açıklanacağı; CMK m.187/2 uyarınca kapalı duruşma içeriğinin hiçbir iletişim aracıyla yayımlanamayacağı gözetilmelidir.</w:t>
      </w:r>
    </w:p>
    <w:p>
      <w:pPr>
        <w:spacing w:before="80"/>
      </w:pPr>
      <w:r>
        <w:rPr>
          <w:b/>
        </w:rPr>
        <w:t xml:space="preserve">HUKUKİ NEDENLER: </w:t>
      </w:r>
      <w:r>
        <w:t>Anayasa m.141; CMK m.182, 184, 186, 187 ve ilgili mevzuat.</w:t>
      </w:r>
    </w:p>
    <w:p>
      <w:r>
        <w:rPr>
          <w:b/>
        </w:rPr>
        <w:t xml:space="preserve">DELİL VE EKLER: </w:t>
      </w:r>
      <w:r>
        <w:t>[Duruşma/ara karar kaydı], [somut risk belgesi], [varsa kolluk veya kurum yazısı], [olay tutanağı], [kapalılık kapsam çizelgesi] ve yalnız gerçekten mevcut diğer kayıtlar.</w:t>
      </w:r>
    </w:p>
    <w:p>
      <w:pPr>
        <w:spacing w:before="80" w:after="100"/>
      </w:pPr>
      <w:r>
        <w:rPr>
          <w:b/>
        </w:rPr>
        <w:t xml:space="preserve">SONUÇ VE İSTEM: </w:t>
      </w:r>
      <w:r>
        <w:t>Açıklanan nedenlerle; (1) kapalılık isteminin görüşülmesine ilişkin bölümün CMK m.184 uyarınca kapalı yapılmasına, (2) [belirli işlem] süresince duruşmanın CMK m.182/2 uyarınca kapalı yürütülmesine; mahkemenizce zorunlu görülürse kapsamın daha dar belirlenmesine, (3) kararın somut nedenleri ve kapsamıyla CMK m.186 uyarınca tutanağa geçirilmesine, (4) kapalı oturumda bulunmasına izin verilen kişilerin CMK m.187/1 uyarınca uyarılmasına ve bu uyarının tutanağa yazılmasına karar verilmesini saygıyla talep ederim. [Tarih]</w:t>
      </w:r>
    </w:p>
    <w:p>
      <w:pPr>
        <w:spacing w:before="60"/>
        <w:jc w:val="right"/>
      </w:pPr>
      <w:r>
        <w:rPr>
          <w:b/>
        </w:rPr>
        <w:t>Talepte bulunan / müdafii / vekili</w:t>
        <w:br/>
      </w:r>
      <w:r>
        <w:t>[Ad-soyad ve imza]</w:t>
      </w:r>
    </w:p>
    <w:p>
      <w:pPr>
        <w:sectPr>
          <w:pgSz w:w="12240" w:h="15840"/>
          <w:pgMar w:top="749" w:right="979" w:bottom="749" w:left="979" w:header="720" w:footer="720" w:gutter="0"/>
          <w:cols w:space="720"/>
          <w:docGrid w:linePitch="360"/>
        </w:sectPr>
      </w:pPr>
    </w:p>
    <w:p>
      <w:pPr>
        <w:pStyle w:val="Heading1"/>
        <w:jc w:val="center"/>
      </w:pPr>
      <w:r>
        <w:t>Kapalılık Talebi Dosya ve Ölçülülük Çizelgesi</w:t>
      </w:r>
    </w:p>
    <w:p>
      <w:r>
        <w:t>Her satır gerçek dosya kaydına dayanmalıdır. Hassas içeriğin tamamı yeniden yazılmaz; belge, tarih, sayfa ve risk bağlantısı talebi anlamaya yetecek ölçüde belirtilir.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Alan</w:t>
            </w:r>
          </w:p>
        </w:tc>
        <w:tc>
          <w:tcPr>
            <w:tcW w:type="dxa" w:w="381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Dosyaya Yazılacak Bilgi</w:t>
            </w:r>
          </w:p>
        </w:tc>
        <w:tc>
          <w:tcPr>
            <w:tcW w:type="dxa" w:w="403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Kontrol Amacı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Oturum/işlem</w:t>
            </w:r>
          </w:p>
        </w:tc>
        <w:tc>
          <w:tcPr>
            <w:tcW w:type="dxa" w:w="381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[Tarih, tanık, belge veya anlatım]</w:t>
            </w:r>
          </w:p>
        </w:tc>
        <w:tc>
          <w:tcPr>
            <w:tcW w:type="dxa" w:w="403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Kapalılık sınırı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Kanuni neden</w:t>
            </w:r>
          </w:p>
        </w:tc>
        <w:tc>
          <w:tcPr>
            <w:tcW w:type="dxa" w:w="381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[Genel ahlâk / kamu güvenliği]</w:t>
            </w:r>
          </w:p>
        </w:tc>
        <w:tc>
          <w:tcPr>
            <w:tcW w:type="dxa" w:w="403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CMK 182/2 bağlantısı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Somut kayıt</w:t>
            </w:r>
          </w:p>
        </w:tc>
        <w:tc>
          <w:tcPr>
            <w:tcW w:type="dxa" w:w="381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[Belge, tarih, düzenleyen, dosya yeri]</w:t>
            </w:r>
          </w:p>
        </w:tc>
        <w:tc>
          <w:tcPr>
            <w:tcW w:type="dxa" w:w="403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Varsayımı ayırmak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Açık oturum riski</w:t>
            </w:r>
          </w:p>
        </w:tc>
        <w:tc>
          <w:tcPr>
            <w:tcW w:type="dxa" w:w="381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[Tehlikenin gerçekleşme biçimi]</w:t>
            </w:r>
          </w:p>
        </w:tc>
        <w:tc>
          <w:tcPr>
            <w:tcW w:type="dxa" w:w="403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Kesin gereklilik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Daha dar önlem</w:t>
            </w:r>
          </w:p>
        </w:tc>
        <w:tc>
          <w:tcPr>
            <w:tcW w:type="dxa" w:w="381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[Denenen/değerlendirilen tedbir]</w:t>
            </w:r>
          </w:p>
        </w:tc>
        <w:tc>
          <w:tcPr>
            <w:tcW w:type="dxa" w:w="403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Neden yetersiz?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Başlangıç</w:t>
            </w:r>
          </w:p>
        </w:tc>
        <w:tc>
          <w:tcPr>
            <w:tcW w:type="dxa" w:w="381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[Kapalılığın başlayacağı işlem]</w:t>
            </w:r>
          </w:p>
        </w:tc>
        <w:tc>
          <w:tcPr>
            <w:tcW w:type="dxa" w:w="403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Kısmi kapsam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Bitiş</w:t>
            </w:r>
          </w:p>
        </w:tc>
        <w:tc>
          <w:tcPr>
            <w:tcW w:type="dxa" w:w="381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[Kapalılığın sona ereceği işlem]</w:t>
            </w:r>
          </w:p>
        </w:tc>
        <w:tc>
          <w:tcPr>
            <w:tcW w:type="dxa" w:w="403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Aleniyete dönüş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Hazır bulunma</w:t>
            </w:r>
          </w:p>
        </w:tc>
        <w:tc>
          <w:tcPr>
            <w:tcW w:type="dxa" w:w="381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[Kişi, sıfat ve gerek]</w:t>
            </w:r>
          </w:p>
        </w:tc>
        <w:tc>
          <w:tcPr>
            <w:tcW w:type="dxa" w:w="403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 w:line="240" w:lineRule="auto"/>
            </w:pPr>
            <w:r>
              <w:rPr>
                <w:sz w:val="16"/>
              </w:rPr>
              <w:t>Mahkeme izni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Tutanak</w:t>
            </w:r>
          </w:p>
        </w:tc>
        <w:tc>
          <w:tcPr>
            <w:tcW w:type="dxa" w:w="381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[Karar nedeni, kapsam ve uyarı]</w:t>
            </w:r>
          </w:p>
        </w:tc>
        <w:tc>
          <w:tcPr>
            <w:tcW w:type="dxa" w:w="403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CMK 186-187</w:t>
            </w:r>
          </w:p>
        </w:tc>
      </w:tr>
    </w:tbl>
    <w:p>
      <w:pPr>
        <w:pStyle w:val="Heading1"/>
        <w:keepNext/>
      </w:pPr>
      <w:r>
        <w:t>Sunum Öncesi Kontrol</w:t>
      </w:r>
    </w:p>
    <w:p>
      <w:pPr>
        <w:spacing w:after="40"/>
        <w:ind w:left="259" w:hanging="259"/>
      </w:pPr>
      <w:r>
        <w:t xml:space="preserve">☐ </w:t>
      </w:r>
      <w:r>
        <w:t>Aleniyetin kural, kapalılığın istisna olduğu açıklandı.</w:t>
      </w:r>
    </w:p>
    <w:p>
      <w:pPr>
        <w:spacing w:after="40"/>
        <w:ind w:left="259" w:hanging="259"/>
      </w:pPr>
      <w:r>
        <w:t xml:space="preserve">☐ </w:t>
      </w:r>
      <w:r>
        <w:t>Talep genel ahlâk veya kamu güvenliğinden doğru olanına bağlandı.</w:t>
      </w:r>
    </w:p>
    <w:p>
      <w:pPr>
        <w:spacing w:after="40"/>
        <w:ind w:left="259" w:hanging="259"/>
      </w:pPr>
      <w:r>
        <w:t xml:space="preserve">☐ </w:t>
      </w:r>
      <w:r>
        <w:t>Somut kayıt, tarih, düzenleyen ve dosya konumuyla tanıtıldı.</w:t>
      </w:r>
    </w:p>
    <w:p>
      <w:pPr>
        <w:spacing w:after="40"/>
        <w:ind w:left="259" w:hanging="259"/>
      </w:pPr>
      <w:r>
        <w:t xml:space="preserve">☐ </w:t>
      </w:r>
      <w:r>
        <w:t>Daha dar önlemin neden yetersiz olduğu dosyaya özgü açıklandı.</w:t>
      </w:r>
    </w:p>
    <w:p>
      <w:pPr>
        <w:spacing w:after="40"/>
        <w:ind w:left="259" w:hanging="259"/>
      </w:pPr>
      <w:r>
        <w:t xml:space="preserve">☐ </w:t>
      </w:r>
      <w:r>
        <w:t>Kısmi kapalılığın başlangıç ve bitiş işlemleri belirlendi.</w:t>
      </w:r>
    </w:p>
    <w:p>
      <w:pPr>
        <w:spacing w:after="40"/>
        <w:ind w:left="259" w:hanging="259"/>
      </w:pPr>
      <w:r>
        <w:t xml:space="preserve">☐ </w:t>
      </w:r>
      <w:r>
        <w:t>CMK 184 istem görüşmesi talebi ayrıca yazıldı.</w:t>
      </w:r>
    </w:p>
    <w:p>
      <w:pPr>
        <w:spacing w:after="40"/>
        <w:ind w:left="259" w:hanging="259"/>
      </w:pPr>
      <w:r>
        <w:t xml:space="preserve">☐ </w:t>
      </w:r>
      <w:r>
        <w:t>CMK 186 tutanak ve CMK 187 uyarı talepleri ayrıştırıldı.</w:t>
      </w:r>
    </w:p>
    <w:p>
      <w:pPr>
        <w:spacing w:after="40"/>
        <w:ind w:left="259" w:hanging="259"/>
      </w:pPr>
      <w:r>
        <w:t xml:space="preserve">☐ </w:t>
      </w:r>
      <w:r>
        <w:t>Çocuk sanık, belirli belge ve kayıt yasağı rejimleri karıştırılmadı.</w:t>
      </w:r>
    </w:p>
    <w:p>
      <w:pPr>
        <w:spacing w:after="40"/>
        <w:ind w:left="259" w:hanging="259"/>
      </w:pPr>
      <w:r>
        <w:t xml:space="preserve">☐ </w:t>
      </w:r>
      <w:r>
        <w:t>Ek listesinde yalnız gerçekten bulunan belgeler gösterildi.</w:t>
      </w:r>
    </w:p>
    <w:p>
      <w:pPr>
        <w:keepLines/>
        <w:spacing w:before="160"/>
      </w:pPr>
      <w:r>
        <w:rPr>
          <w:b/>
        </w:rPr>
        <w:t xml:space="preserve">Not: </w:t>
      </w:r>
      <w:r>
        <w:t>Bu şablon yalnız düzenlenebilir örnektir. Köşeli alanlar gerçek dosya kayıtlarıyla doldurulmalı; hassas içerik koruma amacıyla çelişecek ölçüde yeniden yazılmamalıdır.</w:t>
      </w:r>
    </w:p>
    <w:sectPr w:rsidR="00FC693F" w:rsidRPr="0006063C" w:rsidSect="00034616">
      <w:pgSz w:w="12240" w:h="15840"/>
      <w:pgMar w:top="749" w:right="979" w:bottom="749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