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187/3 Açık Duruşma İçeriğine Yayın Yasağı Talep Dilekçesi</w:t>
      </w:r>
    </w:p>
    <w:p>
      <w:pPr>
        <w:spacing w:after="120"/>
        <w:jc w:val="center"/>
      </w:pPr>
      <w:r>
        <w:rPr>
          <w:b/>
          <w:sz w:val="22"/>
        </w:rPr>
        <w:t>[İLGİLİ CEZA MAHKEMESİNE]</w:t>
      </w:r>
    </w:p>
    <w:p>
      <w:pPr>
        <w:spacing w:after="40" w:line="240" w:lineRule="auto"/>
      </w:pPr>
      <w:r>
        <w:rPr>
          <w:b/>
        </w:rPr>
        <w:t xml:space="preserve">ESAS NO: </w:t>
      </w:r>
      <w:r>
        <w:t>[Gerçek esas numarası]</w:t>
      </w:r>
    </w:p>
    <w:p>
      <w:pPr>
        <w:spacing w:after="40" w:line="240" w:lineRule="auto"/>
      </w:pPr>
      <w:r>
        <w:rPr>
          <w:b/>
        </w:rPr>
        <w:t xml:space="preserve">TALEPTE BULUNAN: </w:t>
      </w:r>
      <w:r>
        <w:t>[Dosyadaki sıfat, ad-soyad ve tebligat adresi]</w:t>
      </w:r>
    </w:p>
    <w:p>
      <w:pPr>
        <w:spacing w:after="40" w:line="240" w:lineRule="auto"/>
      </w:pPr>
      <w:r>
        <w:rPr>
          <w:b/>
        </w:rPr>
        <w:t xml:space="preserve">MÜDAFİİ / VEKİLİ: </w:t>
      </w:r>
      <w:r>
        <w:t>Av. [Ad-soyad, baro-sicil ve adres; varsa]</w:t>
      </w:r>
    </w:p>
    <w:p>
      <w:pPr>
        <w:spacing w:before="60" w:after="100"/>
      </w:pPr>
      <w:r>
        <w:rPr>
          <w:b/>
        </w:rPr>
        <w:t xml:space="preserve">KONU: </w:t>
      </w:r>
      <w:r>
        <w:t>[Tarih] tarihli açık duruşmada ele alınacak [belirli beyan/belge/içerik] bakımından, [CMK m.187/3’teki somut sebep] yönünden doğacak zararı önlemek amacıyla ve gerektiği ölçüde yayının [belirli kısım yönünden / tamamen] yasaklanması talebidir.</w:t>
      </w:r>
    </w:p>
    <w:p>
      <w:pPr>
        <w:pStyle w:val="Heading1"/>
        <w:keepNext/>
      </w:pPr>
      <w:r>
        <w:t>AÇIKLAMALAR</w:t>
      </w:r>
    </w:p>
    <w:p>
      <w:pPr>
        <w:spacing w:after="80" w:line="250" w:lineRule="auto"/>
        <w:ind w:left="29" w:firstLine="317"/>
      </w:pPr>
      <w:r>
        <w:rPr>
          <w:b/>
        </w:rPr>
        <w:t xml:space="preserve">1. </w:t>
      </w:r>
      <w:r>
        <w:t>Mahkemenizin yukarıda numarası yazılı dosyasında [sıfat] olarak yer almaktayım. [Tarih] tarihli celsede [tanık, belge, rapor veya anlatım] ele alınacaktır. Bu işlem [ara karar/duruşma tutanağı/tebligat] belgesinin [sayfa ve sıra] bölümünde kayıtlıdır.</w:t>
      </w:r>
    </w:p>
    <w:p>
      <w:pPr>
        <w:spacing w:after="80" w:line="250" w:lineRule="auto"/>
        <w:ind w:left="29" w:firstLine="317"/>
      </w:pPr>
      <w:r>
        <w:rPr>
          <w:b/>
        </w:rPr>
        <w:t xml:space="preserve">2. </w:t>
      </w:r>
      <w:r>
        <w:t>Yayın riski taşıyan içerik [kimliği gereksiz açıklamadan konu ve sınır]. İçeriğin yayımlanması [millî güvenlik / genel ahlâk / kişinin saygınlığı, onuru ve hakları / suç işlemeye kışkırtmanın önlenmesi] bakımından [somut zarar] doğuracaktır. Dayanak [belgenin adı, tarihi, düzenleyeni ve dosyadaki yeri] olup kaynağı doğrulanmamış bir varsayım değildir.</w:t>
      </w:r>
    </w:p>
    <w:p>
      <w:pPr>
        <w:spacing w:after="80" w:line="250" w:lineRule="auto"/>
        <w:ind w:left="29" w:firstLine="317"/>
      </w:pPr>
      <w:r>
        <w:rPr>
          <w:b/>
        </w:rPr>
        <w:t xml:space="preserve">3. </w:t>
      </w:r>
      <w:r>
        <w:t>Zarar ile yayın arasında doğrudan bağ şöyledir: [yayın konusu unsurun korunan değeri nasıl etkileyeceği]. Hassas bilgi bu dilekçede gereksiz biçimde yeniden yazılmamış; mahkemenin kaydı bulmasına yetecek tarih, sayfa ve sıra bilgisi gösterilmiştir.</w:t>
      </w:r>
    </w:p>
    <w:p>
      <w:pPr>
        <w:spacing w:after="80" w:line="250" w:lineRule="auto"/>
        <w:ind w:left="29" w:firstLine="317"/>
      </w:pPr>
      <w:r>
        <w:rPr>
          <w:b/>
        </w:rPr>
        <w:t xml:space="preserve">4. </w:t>
      </w:r>
      <w:r>
        <w:t>Talep bütün dava hakkında genel bir haber yasağı değildir. Öncelikli istemimiz [belirli ad, görüntü, adres, ifade, belge bölümü veya celse içeriği] ile sınırlıdır. Kimlik gizleme / belirli ayrıntıyı çıkarma / başka dar tedbir [yeterlidir veya şu somut nedenle yetersizdir].</w:t>
      </w:r>
    </w:p>
    <w:p>
      <w:pPr>
        <w:spacing w:after="80" w:line="250" w:lineRule="auto"/>
        <w:ind w:left="29" w:firstLine="317"/>
      </w:pPr>
      <w:r>
        <w:rPr>
          <w:b/>
        </w:rPr>
        <w:t xml:space="preserve">5. </w:t>
      </w:r>
      <w:r>
        <w:t>CMK m.187/3 açık duruşmanın içeriği bakımından, sayılan sakıncaları önlemek amacıyla ve gerektiği ölçüde kısmi veya tam yayın yasağına imkân verir. Duruşmanın açık niteliğine dokunulmadan yalnız belirtilen içeriğin iletişim araçlarıyla yayımlanmaması istenmektedir. Talep CMK m.182 kapsamında duruşmanın kapatılması değildir.</w:t>
      </w:r>
    </w:p>
    <w:p>
      <w:pPr>
        <w:spacing w:after="80" w:line="250" w:lineRule="auto"/>
        <w:ind w:left="29" w:firstLine="317"/>
      </w:pPr>
      <w:r>
        <w:rPr>
          <w:b/>
        </w:rPr>
        <w:t xml:space="preserve">6. </w:t>
      </w:r>
      <w:r>
        <w:t>Tedbirin [başlangıç işlemi] ile uygulanıp [bitiş veya yeniden değerlendirme anı] itibarıyla yeniden değerlendirilmesini; kararın yasaklanan içerik, korunan değer, yayın kapsamı ve uygulama dönemi yönünden açıkça sınırlandırılmasını talep ediyoruz. Mahkemenin daha dar ve yeterli bir kapsam belirleme yetkisi saklıdır.</w:t>
      </w:r>
    </w:p>
    <w:p>
      <w:pPr>
        <w:spacing w:after="80" w:line="250" w:lineRule="auto"/>
        <w:ind w:left="29" w:firstLine="317"/>
      </w:pPr>
      <w:r>
        <w:rPr>
          <w:b/>
        </w:rPr>
        <w:t xml:space="preserve">7. </w:t>
      </w:r>
      <w:r>
        <w:t>Başvuru, geçmiş internet içeriklerinin kendiliğinden silindiği, erişim engeli oluştuğu veya soruşturma gizliliği kararı verildiği iddiasını içermez. Bu sonuçlar varsa kendi kanuni dayanak ve makamları yönünden ayrıca değerlendirilmelidir.</w:t>
      </w:r>
    </w:p>
    <w:p>
      <w:pPr>
        <w:spacing w:before="80"/>
      </w:pPr>
      <w:r>
        <w:rPr>
          <w:b/>
        </w:rPr>
        <w:t xml:space="preserve">HUKUKİ NEDENLER: </w:t>
      </w:r>
      <w:r>
        <w:t>Anayasa m.26, 28 ve 141; CMK m.34, 187/3 ve ilgili mevzuat.</w:t>
      </w:r>
    </w:p>
    <w:p>
      <w:r>
        <w:rPr>
          <w:b/>
        </w:rPr>
        <w:t xml:space="preserve">DELİL VE EKLER: </w:t>
      </w:r>
      <w:r>
        <w:t>[Duruşma/ara karar kaydı], [somut risk belgesi], [varsa önceki yayın kaydı], [kurum yazısı], [kapsam çizelgesi] ve yalnız gerçekten mevcut diğer kayıtlar.</w:t>
      </w:r>
    </w:p>
    <w:p>
      <w:pPr>
        <w:spacing w:before="80" w:after="100"/>
      </w:pPr>
      <w:r>
        <w:rPr>
          <w:b/>
        </w:rPr>
        <w:t xml:space="preserve">SONUÇ VE İSTEM: </w:t>
      </w:r>
      <w:r>
        <w:t>Açıklanan nedenlerle; [belirli içerik] bakımından CMK m.187/3 uyarınca, [kanuni sakınca] zararını önlemek amacıyla ve gerektiği ölçüde yayının [tanımlı kısım yönünden] yasaklanmasına; mahkemenizce bu kapsam yeterli görülmezse zararı önleyen daha dar sınırın belirlenmesine; kararın yasaklanan içerik, uygulama başlangıcı, bitişi/yeniden değerlendirme noktası ve somut gerekçesiyle duruşma tutanağına geçirilmesine karar verilmesini saygıyla talep ederim. [Tarih]</w:t>
      </w:r>
    </w:p>
    <w:p>
      <w:pPr>
        <w:spacing w:before="60"/>
        <w:jc w:val="right"/>
      </w:pPr>
      <w:r>
        <w:rPr>
          <w:b/>
        </w:rPr>
        <w:t>Talepte bulunan / müdafii / vekili</w:t>
        <w:br/>
      </w:r>
      <w:r>
        <w:t>[Ad-soyad ve imza]</w:t>
      </w:r>
    </w:p>
    <w:p>
      <w:pPr>
        <w:sectPr>
          <w:pgSz w:w="12240" w:h="15840"/>
          <w:pgMar w:top="720" w:right="965" w:bottom="720" w:left="965" w:header="720" w:footer="720" w:gutter="0"/>
          <w:cols w:space="720"/>
          <w:docGrid w:linePitch="360"/>
        </w:sectPr>
      </w:pPr>
    </w:p>
    <w:p>
      <w:pPr>
        <w:pStyle w:val="Heading1"/>
        <w:jc w:val="center"/>
      </w:pPr>
      <w:r>
        <w:t>Yayın Riski ve Ölçülülük Çizelgesi</w:t>
      </w:r>
    </w:p>
    <w:p>
      <w:r>
        <w:t>Her alan gerçek dosya kaydıyla doldurulmalıdır. Hassas içerik aynen çoğaltılmaz; belge, tarih, sayfa ve zarar bağlantısı talebi denetlemeye yetecek ölçüde gösterilir.</w:t>
      </w:r>
    </w:p>
    <w:tbl>
      <w:tblPr>
        <w:tblStyle w:val="TableGrid"/>
        <w:tblW w:type="auto" w:w="0"/>
        <w:tblLayout w:type="fixed"/>
        <w:tblLook w:firstColumn="1" w:firstRow="1" w:lastColumn="0" w:lastRow="0" w:noHBand="0" w:noVBand="1" w:val="04A0"/>
      </w:tblPr>
      <w:tblGrid>
        <w:gridCol w:w="3437"/>
        <w:gridCol w:w="3437"/>
        <w:gridCol w:w="3437"/>
      </w:tblGrid>
      <w:tr>
        <w:trPr>
          <w:tblHeader w:val="true"/>
        </w:trPr>
        <w:tc>
          <w:tcPr>
            <w:tcW w:type="dxa" w:w="2232"/>
            <w:vAlign w:val="center"/>
            <w:tcMar>
              <w:top w:w="85" w:type="dxa"/>
              <w:start w:w="95" w:type="dxa"/>
              <w:bottom w:w="85" w:type="dxa"/>
              <w:end w:w="95" w:type="dxa"/>
            </w:tcMar>
            <w:shd w:fill="1F4E78"/>
          </w:tcPr>
          <w:p>
            <w:pPr>
              <w:jc w:val="center"/>
            </w:pPr>
            <w:r>
              <w:rPr>
                <w:b/>
                <w:color w:val="FFFFFF"/>
                <w:sz w:val="16"/>
              </w:rPr>
              <w:t>Alan</w:t>
            </w:r>
          </w:p>
        </w:tc>
        <w:tc>
          <w:tcPr>
            <w:tcW w:type="dxa" w:w="3960"/>
            <w:vAlign w:val="center"/>
            <w:tcMar>
              <w:top w:w="85" w:type="dxa"/>
              <w:start w:w="95" w:type="dxa"/>
              <w:bottom w:w="85" w:type="dxa"/>
              <w:end w:w="95" w:type="dxa"/>
            </w:tcMar>
            <w:shd w:fill="1F4E78"/>
          </w:tcPr>
          <w:p>
            <w:pPr>
              <w:jc w:val="center"/>
            </w:pPr>
            <w:r>
              <w:rPr>
                <w:b/>
                <w:color w:val="FFFFFF"/>
                <w:sz w:val="16"/>
              </w:rPr>
              <w:t>Dosyaya Yazılacak Bilgi</w:t>
            </w:r>
          </w:p>
        </w:tc>
        <w:tc>
          <w:tcPr>
            <w:tcW w:type="dxa" w:w="3773"/>
            <w:vAlign w:val="center"/>
            <w:tcMar>
              <w:top w:w="85" w:type="dxa"/>
              <w:start w:w="95" w:type="dxa"/>
              <w:bottom w:w="85" w:type="dxa"/>
              <w:end w:w="95" w:type="dxa"/>
            </w:tcMar>
            <w:shd w:fill="1F4E78"/>
          </w:tcPr>
          <w:p>
            <w:pPr>
              <w:jc w:val="center"/>
            </w:pPr>
            <w:r>
              <w:rPr>
                <w:b/>
                <w:color w:val="FFFFFF"/>
                <w:sz w:val="16"/>
              </w:rPr>
              <w:t>Kontrol Amacı</w:t>
            </w:r>
          </w:p>
        </w:tc>
      </w:tr>
      <w:tr>
        <w:tc>
          <w:tcPr>
            <w:tcW w:type="dxa" w:w="2232"/>
            <w:vAlign w:val="center"/>
            <w:tcMar>
              <w:top w:w="85" w:type="dxa"/>
              <w:start w:w="95" w:type="dxa"/>
              <w:bottom w:w="85" w:type="dxa"/>
              <w:end w:w="95" w:type="dxa"/>
            </w:tcMar>
          </w:tcPr>
          <w:p>
            <w:pPr>
              <w:spacing w:after="0" w:line="240" w:lineRule="auto"/>
            </w:pPr>
            <w:r>
              <w:rPr>
                <w:sz w:val="15"/>
              </w:rPr>
              <w:t>Celse/içerik</w:t>
            </w:r>
          </w:p>
        </w:tc>
        <w:tc>
          <w:tcPr>
            <w:tcW w:type="dxa" w:w="3960"/>
            <w:vAlign w:val="center"/>
            <w:tcMar>
              <w:top w:w="85" w:type="dxa"/>
              <w:start w:w="95" w:type="dxa"/>
              <w:bottom w:w="85" w:type="dxa"/>
              <w:end w:w="95" w:type="dxa"/>
            </w:tcMar>
          </w:tcPr>
          <w:p>
            <w:pPr>
              <w:spacing w:after="0" w:line="240" w:lineRule="auto"/>
            </w:pPr>
            <w:r>
              <w:rPr>
                <w:sz w:val="15"/>
              </w:rPr>
              <w:t>[Tarih, beyan, belge, bölüm]</w:t>
            </w:r>
          </w:p>
        </w:tc>
        <w:tc>
          <w:tcPr>
            <w:tcW w:type="dxa" w:w="3773"/>
            <w:vAlign w:val="center"/>
            <w:tcMar>
              <w:top w:w="85" w:type="dxa"/>
              <w:start w:w="95" w:type="dxa"/>
              <w:bottom w:w="85" w:type="dxa"/>
              <w:end w:w="95" w:type="dxa"/>
            </w:tcMar>
          </w:tcPr>
          <w:p>
            <w:pPr>
              <w:spacing w:after="0" w:line="240" w:lineRule="auto"/>
            </w:pPr>
            <w:r>
              <w:rPr>
                <w:sz w:val="15"/>
              </w:rPr>
              <w:t>Yasağın konusu</w:t>
            </w:r>
          </w:p>
        </w:tc>
      </w:tr>
      <w:tr>
        <w:tc>
          <w:tcPr>
            <w:tcW w:type="dxa" w:w="2232"/>
            <w:vAlign w:val="center"/>
            <w:tcMar>
              <w:top w:w="85" w:type="dxa"/>
              <w:start w:w="95" w:type="dxa"/>
              <w:bottom w:w="85" w:type="dxa"/>
              <w:end w:w="95" w:type="dxa"/>
            </w:tcMar>
            <w:shd w:fill="EAF2F8"/>
          </w:tcPr>
          <w:p>
            <w:pPr>
              <w:spacing w:after="0" w:line="240" w:lineRule="auto"/>
            </w:pPr>
            <w:r>
              <w:rPr>
                <w:sz w:val="15"/>
              </w:rPr>
              <w:t>Kanuni sebep</w:t>
            </w:r>
          </w:p>
        </w:tc>
        <w:tc>
          <w:tcPr>
            <w:tcW w:type="dxa" w:w="3960"/>
            <w:vAlign w:val="center"/>
            <w:tcMar>
              <w:top w:w="85" w:type="dxa"/>
              <w:start w:w="95" w:type="dxa"/>
              <w:bottom w:w="85" w:type="dxa"/>
              <w:end w:w="95" w:type="dxa"/>
            </w:tcMar>
            <w:shd w:fill="EAF2F8"/>
          </w:tcPr>
          <w:p>
            <w:pPr>
              <w:spacing w:after="0" w:line="240" w:lineRule="auto"/>
            </w:pPr>
            <w:r>
              <w:rPr>
                <w:sz w:val="15"/>
              </w:rPr>
              <w:t>[CMK 187/3’teki sebep]</w:t>
            </w:r>
          </w:p>
        </w:tc>
        <w:tc>
          <w:tcPr>
            <w:tcW w:type="dxa" w:w="3773"/>
            <w:vAlign w:val="center"/>
            <w:tcMar>
              <w:top w:w="85" w:type="dxa"/>
              <w:start w:w="95" w:type="dxa"/>
              <w:bottom w:w="85" w:type="dxa"/>
              <w:end w:w="95" w:type="dxa"/>
            </w:tcMar>
            <w:shd w:fill="EAF2F8"/>
          </w:tcPr>
          <w:p>
            <w:pPr>
              <w:spacing w:after="0" w:line="240" w:lineRule="auto"/>
            </w:pPr>
            <w:r>
              <w:rPr>
                <w:sz w:val="15"/>
              </w:rPr>
              <w:t>Sebep-sakınca bağı</w:t>
            </w:r>
          </w:p>
        </w:tc>
      </w:tr>
      <w:tr>
        <w:tc>
          <w:tcPr>
            <w:tcW w:type="dxa" w:w="2232"/>
            <w:vAlign w:val="center"/>
            <w:tcMar>
              <w:top w:w="85" w:type="dxa"/>
              <w:start w:w="95" w:type="dxa"/>
              <w:bottom w:w="85" w:type="dxa"/>
              <w:end w:w="95" w:type="dxa"/>
            </w:tcMar>
          </w:tcPr>
          <w:p>
            <w:pPr>
              <w:spacing w:after="0" w:line="240" w:lineRule="auto"/>
            </w:pPr>
            <w:r>
              <w:rPr>
                <w:sz w:val="15"/>
              </w:rPr>
              <w:t>Korunan kişi/değer</w:t>
            </w:r>
          </w:p>
        </w:tc>
        <w:tc>
          <w:tcPr>
            <w:tcW w:type="dxa" w:w="3960"/>
            <w:vAlign w:val="center"/>
            <w:tcMar>
              <w:top w:w="85" w:type="dxa"/>
              <w:start w:w="95" w:type="dxa"/>
              <w:bottom w:w="85" w:type="dxa"/>
              <w:end w:w="95" w:type="dxa"/>
            </w:tcMar>
          </w:tcPr>
          <w:p>
            <w:pPr>
              <w:spacing w:after="0" w:line="240" w:lineRule="auto"/>
            </w:pPr>
            <w:r>
              <w:rPr>
                <w:sz w:val="15"/>
              </w:rPr>
              <w:t>[Kişi, hak veya güvenlik değeri]</w:t>
            </w:r>
          </w:p>
        </w:tc>
        <w:tc>
          <w:tcPr>
            <w:tcW w:type="dxa" w:w="3773"/>
            <w:vAlign w:val="center"/>
            <w:tcMar>
              <w:top w:w="85" w:type="dxa"/>
              <w:start w:w="95" w:type="dxa"/>
              <w:bottom w:w="85" w:type="dxa"/>
              <w:end w:w="95" w:type="dxa"/>
            </w:tcMar>
          </w:tcPr>
          <w:p>
            <w:pPr>
              <w:spacing w:after="0" w:line="240" w:lineRule="auto"/>
            </w:pPr>
            <w:r>
              <w:rPr>
                <w:sz w:val="15"/>
              </w:rPr>
              <w:t>Somut hedef</w:t>
            </w:r>
          </w:p>
        </w:tc>
      </w:tr>
      <w:tr>
        <w:tc>
          <w:tcPr>
            <w:tcW w:type="dxa" w:w="2232"/>
            <w:vAlign w:val="center"/>
            <w:tcMar>
              <w:top w:w="85" w:type="dxa"/>
              <w:start w:w="95" w:type="dxa"/>
              <w:bottom w:w="85" w:type="dxa"/>
              <w:end w:w="95" w:type="dxa"/>
            </w:tcMar>
            <w:shd w:fill="EAF2F8"/>
          </w:tcPr>
          <w:p>
            <w:pPr>
              <w:spacing w:after="0" w:line="240" w:lineRule="auto"/>
            </w:pPr>
            <w:r>
              <w:rPr>
                <w:sz w:val="15"/>
              </w:rPr>
              <w:t>Dayanak kayıt</w:t>
            </w:r>
          </w:p>
        </w:tc>
        <w:tc>
          <w:tcPr>
            <w:tcW w:type="dxa" w:w="3960"/>
            <w:vAlign w:val="center"/>
            <w:tcMar>
              <w:top w:w="85" w:type="dxa"/>
              <w:start w:w="95" w:type="dxa"/>
              <w:bottom w:w="85" w:type="dxa"/>
              <w:end w:w="95" w:type="dxa"/>
            </w:tcMar>
            <w:shd w:fill="EAF2F8"/>
          </w:tcPr>
          <w:p>
            <w:pPr>
              <w:spacing w:after="0" w:line="240" w:lineRule="auto"/>
            </w:pPr>
            <w:r>
              <w:rPr>
                <w:sz w:val="15"/>
              </w:rPr>
              <w:t>[Belge, tarih, düzenleyen, dosya yeri]</w:t>
            </w:r>
          </w:p>
        </w:tc>
        <w:tc>
          <w:tcPr>
            <w:tcW w:type="dxa" w:w="3773"/>
            <w:vAlign w:val="center"/>
            <w:tcMar>
              <w:top w:w="85" w:type="dxa"/>
              <w:start w:w="95" w:type="dxa"/>
              <w:bottom w:w="85" w:type="dxa"/>
              <w:end w:w="95" w:type="dxa"/>
            </w:tcMar>
            <w:shd w:fill="EAF2F8"/>
          </w:tcPr>
          <w:p>
            <w:pPr>
              <w:spacing w:after="0" w:line="240" w:lineRule="auto"/>
            </w:pPr>
            <w:r>
              <w:rPr>
                <w:sz w:val="15"/>
              </w:rPr>
              <w:t>Varsayımı ayırmak</w:t>
            </w:r>
          </w:p>
        </w:tc>
      </w:tr>
      <w:tr>
        <w:tc>
          <w:tcPr>
            <w:tcW w:type="dxa" w:w="2232"/>
            <w:vAlign w:val="center"/>
            <w:tcMar>
              <w:top w:w="85" w:type="dxa"/>
              <w:start w:w="95" w:type="dxa"/>
              <w:bottom w:w="85" w:type="dxa"/>
              <w:end w:w="95" w:type="dxa"/>
            </w:tcMar>
          </w:tcPr>
          <w:p>
            <w:pPr>
              <w:spacing w:after="0" w:line="240" w:lineRule="auto"/>
            </w:pPr>
            <w:r>
              <w:rPr>
                <w:sz w:val="15"/>
              </w:rPr>
              <w:t>Beklenen zarar</w:t>
            </w:r>
          </w:p>
        </w:tc>
        <w:tc>
          <w:tcPr>
            <w:tcW w:type="dxa" w:w="3960"/>
            <w:vAlign w:val="center"/>
            <w:tcMar>
              <w:top w:w="85" w:type="dxa"/>
              <w:start w:w="95" w:type="dxa"/>
              <w:bottom w:w="85" w:type="dxa"/>
              <w:end w:w="95" w:type="dxa"/>
            </w:tcMar>
          </w:tcPr>
          <w:p>
            <w:pPr>
              <w:spacing w:after="0" w:line="240" w:lineRule="auto"/>
            </w:pPr>
            <w:r>
              <w:rPr>
                <w:sz w:val="15"/>
              </w:rPr>
              <w:t>[Yayının doğuracağı sonuç]</w:t>
            </w:r>
          </w:p>
        </w:tc>
        <w:tc>
          <w:tcPr>
            <w:tcW w:type="dxa" w:w="3773"/>
            <w:vAlign w:val="center"/>
            <w:tcMar>
              <w:top w:w="85" w:type="dxa"/>
              <w:start w:w="95" w:type="dxa"/>
              <w:bottom w:w="85" w:type="dxa"/>
              <w:end w:w="95" w:type="dxa"/>
            </w:tcMar>
          </w:tcPr>
          <w:p>
            <w:pPr>
              <w:spacing w:after="0" w:line="240" w:lineRule="auto"/>
            </w:pPr>
            <w:r>
              <w:rPr>
                <w:sz w:val="15"/>
              </w:rPr>
              <w:t>Önleme amacı</w:t>
            </w:r>
          </w:p>
        </w:tc>
      </w:tr>
      <w:tr>
        <w:tc>
          <w:tcPr>
            <w:tcW w:type="dxa" w:w="2232"/>
            <w:vAlign w:val="center"/>
            <w:tcMar>
              <w:top w:w="85" w:type="dxa"/>
              <w:start w:w="95" w:type="dxa"/>
              <w:bottom w:w="85" w:type="dxa"/>
              <w:end w:w="95" w:type="dxa"/>
            </w:tcMar>
            <w:shd w:fill="EAF2F8"/>
          </w:tcPr>
          <w:p>
            <w:pPr>
              <w:spacing w:after="0" w:line="240" w:lineRule="auto"/>
            </w:pPr>
            <w:r>
              <w:rPr>
                <w:sz w:val="15"/>
              </w:rPr>
              <w:t>Daha dar tedbir</w:t>
            </w:r>
          </w:p>
        </w:tc>
        <w:tc>
          <w:tcPr>
            <w:tcW w:type="dxa" w:w="3960"/>
            <w:vAlign w:val="center"/>
            <w:tcMar>
              <w:top w:w="85" w:type="dxa"/>
              <w:start w:w="95" w:type="dxa"/>
              <w:bottom w:w="85" w:type="dxa"/>
              <w:end w:w="95" w:type="dxa"/>
            </w:tcMar>
            <w:shd w:fill="EAF2F8"/>
          </w:tcPr>
          <w:p>
            <w:pPr>
              <w:spacing w:after="0" w:line="240" w:lineRule="auto"/>
            </w:pPr>
            <w:r>
              <w:rPr>
                <w:sz w:val="15"/>
              </w:rPr>
              <w:t>[Kimlik gizleme/çıkarma vb.]</w:t>
            </w:r>
          </w:p>
        </w:tc>
        <w:tc>
          <w:tcPr>
            <w:tcW w:type="dxa" w:w="3773"/>
            <w:vAlign w:val="center"/>
            <w:tcMar>
              <w:top w:w="85" w:type="dxa"/>
              <w:start w:w="95" w:type="dxa"/>
              <w:bottom w:w="85" w:type="dxa"/>
              <w:end w:w="95" w:type="dxa"/>
            </w:tcMar>
            <w:shd w:fill="EAF2F8"/>
          </w:tcPr>
          <w:p>
            <w:pPr>
              <w:spacing w:after="0" w:line="240" w:lineRule="auto"/>
            </w:pPr>
            <w:r>
              <w:rPr>
                <w:sz w:val="15"/>
              </w:rPr>
              <w:t>Yeterlilik testi</w:t>
            </w:r>
          </w:p>
        </w:tc>
      </w:tr>
      <w:tr>
        <w:tc>
          <w:tcPr>
            <w:tcW w:type="dxa" w:w="2232"/>
            <w:vAlign w:val="center"/>
            <w:tcMar>
              <w:top w:w="85" w:type="dxa"/>
              <w:start w:w="95" w:type="dxa"/>
              <w:bottom w:w="85" w:type="dxa"/>
              <w:end w:w="95" w:type="dxa"/>
            </w:tcMar>
          </w:tcPr>
          <w:p>
            <w:pPr>
              <w:spacing w:after="0" w:line="240" w:lineRule="auto"/>
            </w:pPr>
            <w:r>
              <w:rPr>
                <w:sz w:val="15"/>
              </w:rPr>
              <w:t>İstenen kapsam</w:t>
            </w:r>
          </w:p>
        </w:tc>
        <w:tc>
          <w:tcPr>
            <w:tcW w:type="dxa" w:w="3960"/>
            <w:vAlign w:val="center"/>
            <w:tcMar>
              <w:top w:w="85" w:type="dxa"/>
              <w:start w:w="95" w:type="dxa"/>
              <w:bottom w:w="85" w:type="dxa"/>
              <w:end w:w="95" w:type="dxa"/>
            </w:tcMar>
          </w:tcPr>
          <w:p>
            <w:pPr>
              <w:spacing w:after="0" w:line="240" w:lineRule="auto"/>
            </w:pPr>
            <w:r>
              <w:rPr>
                <w:sz w:val="15"/>
              </w:rPr>
              <w:t>[Kısmi/tam ve içerik sınırı]</w:t>
            </w:r>
          </w:p>
        </w:tc>
        <w:tc>
          <w:tcPr>
            <w:tcW w:type="dxa" w:w="3773"/>
            <w:vAlign w:val="center"/>
            <w:tcMar>
              <w:top w:w="85" w:type="dxa"/>
              <w:start w:w="95" w:type="dxa"/>
              <w:bottom w:w="85" w:type="dxa"/>
              <w:end w:w="95" w:type="dxa"/>
            </w:tcMar>
          </w:tcPr>
          <w:p>
            <w:pPr>
              <w:spacing w:after="0" w:line="240" w:lineRule="auto"/>
            </w:pPr>
            <w:r>
              <w:rPr>
                <w:sz w:val="15"/>
              </w:rPr>
              <w:t>Gerektiği ölçüde</w:t>
            </w:r>
          </w:p>
        </w:tc>
      </w:tr>
      <w:tr>
        <w:tc>
          <w:tcPr>
            <w:tcW w:type="dxa" w:w="2232"/>
            <w:vAlign w:val="center"/>
            <w:tcMar>
              <w:top w:w="85" w:type="dxa"/>
              <w:start w:w="95" w:type="dxa"/>
              <w:bottom w:w="85" w:type="dxa"/>
              <w:end w:w="95" w:type="dxa"/>
            </w:tcMar>
            <w:shd w:fill="EAF2F8"/>
          </w:tcPr>
          <w:p>
            <w:pPr>
              <w:spacing w:after="0" w:line="240" w:lineRule="auto"/>
            </w:pPr>
            <w:r>
              <w:rPr>
                <w:sz w:val="15"/>
              </w:rPr>
              <w:t>Başlangıç</w:t>
            </w:r>
          </w:p>
        </w:tc>
        <w:tc>
          <w:tcPr>
            <w:tcW w:type="dxa" w:w="3960"/>
            <w:vAlign w:val="center"/>
            <w:tcMar>
              <w:top w:w="85" w:type="dxa"/>
              <w:start w:w="95" w:type="dxa"/>
              <w:bottom w:w="85" w:type="dxa"/>
              <w:end w:w="95" w:type="dxa"/>
            </w:tcMar>
            <w:shd w:fill="EAF2F8"/>
          </w:tcPr>
          <w:p>
            <w:pPr>
              <w:spacing w:after="0" w:line="240" w:lineRule="auto"/>
            </w:pPr>
            <w:r>
              <w:rPr>
                <w:sz w:val="15"/>
              </w:rPr>
              <w:t>[İşlem veya celse]</w:t>
            </w:r>
          </w:p>
        </w:tc>
        <w:tc>
          <w:tcPr>
            <w:tcW w:type="dxa" w:w="3773"/>
            <w:vAlign w:val="center"/>
            <w:tcMar>
              <w:top w:w="85" w:type="dxa"/>
              <w:start w:w="95" w:type="dxa"/>
              <w:bottom w:w="85" w:type="dxa"/>
              <w:end w:w="95" w:type="dxa"/>
            </w:tcMar>
            <w:shd w:fill="EAF2F8"/>
          </w:tcPr>
          <w:p>
            <w:pPr>
              <w:spacing w:after="0" w:line="240" w:lineRule="auto"/>
            </w:pPr>
            <w:r>
              <w:rPr>
                <w:sz w:val="15"/>
              </w:rPr>
              <w:t>Uygulama anı</w:t>
            </w:r>
          </w:p>
        </w:tc>
      </w:tr>
      <w:tr>
        <w:tc>
          <w:tcPr>
            <w:tcW w:type="dxa" w:w="2232"/>
            <w:vAlign w:val="center"/>
            <w:tcMar>
              <w:top w:w="85" w:type="dxa"/>
              <w:start w:w="95" w:type="dxa"/>
              <w:bottom w:w="85" w:type="dxa"/>
              <w:end w:w="95" w:type="dxa"/>
            </w:tcMar>
          </w:tcPr>
          <w:p>
            <w:pPr>
              <w:spacing w:after="0" w:line="240" w:lineRule="auto"/>
            </w:pPr>
            <w:r>
              <w:rPr>
                <w:sz w:val="15"/>
              </w:rPr>
              <w:t>Bitiş/inceleme</w:t>
            </w:r>
          </w:p>
        </w:tc>
        <w:tc>
          <w:tcPr>
            <w:tcW w:type="dxa" w:w="3960"/>
            <w:vAlign w:val="center"/>
            <w:tcMar>
              <w:top w:w="85" w:type="dxa"/>
              <w:start w:w="95" w:type="dxa"/>
              <w:bottom w:w="85" w:type="dxa"/>
              <w:end w:w="95" w:type="dxa"/>
            </w:tcMar>
          </w:tcPr>
          <w:p>
            <w:pPr>
              <w:spacing w:after="0" w:line="240" w:lineRule="auto"/>
            </w:pPr>
            <w:r>
              <w:rPr>
                <w:sz w:val="15"/>
              </w:rPr>
              <w:t>[Olay, tarih veya celse]</w:t>
            </w:r>
          </w:p>
        </w:tc>
        <w:tc>
          <w:tcPr>
            <w:tcW w:type="dxa" w:w="3773"/>
            <w:vAlign w:val="center"/>
            <w:tcMar>
              <w:top w:w="85" w:type="dxa"/>
              <w:start w:w="95" w:type="dxa"/>
              <w:bottom w:w="85" w:type="dxa"/>
              <w:end w:w="95" w:type="dxa"/>
            </w:tcMar>
          </w:tcPr>
          <w:p>
            <w:pPr>
              <w:spacing w:after="0" w:line="240" w:lineRule="auto"/>
            </w:pPr>
            <w:r>
              <w:rPr>
                <w:sz w:val="15"/>
              </w:rPr>
              <w:t>Süresizliği önlemek</w:t>
            </w:r>
          </w:p>
        </w:tc>
      </w:tr>
    </w:tbl>
    <w:p>
      <w:pPr>
        <w:pStyle w:val="Heading1"/>
        <w:keepNext/>
      </w:pPr>
      <w:r>
        <w:t>Sunum Öncesi Kontrol</w:t>
      </w:r>
    </w:p>
    <w:p>
      <w:pPr>
        <w:spacing w:after="40"/>
        <w:ind w:left="259" w:hanging="259"/>
      </w:pPr>
      <w:r>
        <w:t xml:space="preserve">☐ </w:t>
      </w:r>
      <w:r>
        <w:t>Açık duruşma ile kapalı duruşma rejimi ayrıldı.</w:t>
      </w:r>
    </w:p>
    <w:p>
      <w:pPr>
        <w:spacing w:after="40"/>
        <w:ind w:left="259" w:hanging="259"/>
      </w:pPr>
      <w:r>
        <w:t xml:space="preserve">☐ </w:t>
      </w:r>
      <w:r>
        <w:t>CMK 187/3’teki doğru kanuni sebep seçildi.</w:t>
      </w:r>
    </w:p>
    <w:p>
      <w:pPr>
        <w:spacing w:after="40"/>
        <w:ind w:left="259" w:hanging="259"/>
      </w:pPr>
      <w:r>
        <w:t xml:space="preserve">☐ </w:t>
      </w:r>
      <w:r>
        <w:t>Yasaklanacak içerik celse, belge veya ifade sınırıyla belirlendi.</w:t>
      </w:r>
    </w:p>
    <w:p>
      <w:pPr>
        <w:spacing w:after="40"/>
        <w:ind w:left="259" w:hanging="259"/>
      </w:pPr>
      <w:r>
        <w:t xml:space="preserve">☐ </w:t>
      </w:r>
      <w:r>
        <w:t>Somut zarar gerçek kayıtla ilişkilendirildi.</w:t>
      </w:r>
    </w:p>
    <w:p>
      <w:pPr>
        <w:spacing w:after="40"/>
        <w:ind w:left="259" w:hanging="259"/>
      </w:pPr>
      <w:r>
        <w:t xml:space="preserve">☐ </w:t>
      </w:r>
      <w:r>
        <w:t>Kimlik gizleme gibi daha dar seçenek değerlendirildi.</w:t>
      </w:r>
    </w:p>
    <w:p>
      <w:pPr>
        <w:spacing w:after="40"/>
        <w:ind w:left="259" w:hanging="259"/>
      </w:pPr>
      <w:r>
        <w:t xml:space="preserve">☐ </w:t>
      </w:r>
      <w:r>
        <w:t>Kısmi veya tam kapsamın neden gerekli olduğu açıklandı.</w:t>
      </w:r>
    </w:p>
    <w:p>
      <w:pPr>
        <w:spacing w:after="40"/>
        <w:ind w:left="259" w:hanging="259"/>
      </w:pPr>
      <w:r>
        <w:t xml:space="preserve">☐ </w:t>
      </w:r>
      <w:r>
        <w:t>Başlangıç ve yeniden değerlendirme noktası yazıldı.</w:t>
      </w:r>
    </w:p>
    <w:p>
      <w:pPr>
        <w:spacing w:after="40"/>
        <w:ind w:left="259" w:hanging="259"/>
      </w:pPr>
      <w:r>
        <w:t xml:space="preserve">☐ </w:t>
      </w:r>
      <w:r>
        <w:t>CMK 183 kayıt yasağı ve CMK 187/2 rejimi karıştırılmadı.</w:t>
      </w:r>
    </w:p>
    <w:p>
      <w:pPr>
        <w:spacing w:after="40"/>
        <w:ind w:left="259" w:hanging="259"/>
      </w:pPr>
      <w:r>
        <w:t xml:space="preserve">☐ </w:t>
      </w:r>
      <w:r>
        <w:t>Ek listesinde yalnız gerçekten mevcut belgeler gösterildi.</w:t>
      </w:r>
    </w:p>
    <w:p>
      <w:pPr>
        <w:keepLines/>
        <w:spacing w:before="140"/>
      </w:pPr>
      <w:r>
        <w:rPr>
          <w:b/>
        </w:rPr>
        <w:t xml:space="preserve">Not: </w:t>
      </w:r>
      <w:r>
        <w:t>Bu belge düzenlenebilir örnektir. Köşeli alanlar gerçek dosya kayıtlarıyla doldurulmalı; verilmemiş bir mahkeme kararı veya gerçekleşmemiş yayın varmış gibi metin kurulmamalıdır.</w:t>
      </w:r>
    </w:p>
    <w:sectPr w:rsidR="00FC693F" w:rsidRPr="0006063C" w:rsidSect="00034616">
      <w:pgSz w:w="12240" w:h="15840"/>
      <w:pgMar w:top="720" w:right="965" w:bottom="720" w:left="9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5" w:lineRule="auto"/>
    </w:pPr>
    <w:rPr>
      <w:rFonts w:ascii="Arial" w:hAnsi="Arial"/>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Arial" w:hAnsi="Arial"/>
      <w:b/>
      <w:color w:val="000000"/>
      <w:spacing w:val="5"/>
      <w:kern w:val="28"/>
      <w:sz w:val="27"/>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