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192/2 Duruşma Yönetimi Tedbirinin Mahkemece Karara Bağlanması Talebi</w:t>
      </w:r>
    </w:p>
    <w:p>
      <w:pPr>
        <w:spacing w:after="100"/>
        <w:jc w:val="center"/>
      </w:pPr>
      <w:r>
        <w:rPr>
          <w:b/>
          <w:sz w:val="21"/>
        </w:rPr>
        <w:t>[İLGİLİ AĞIR CEZA MAHKEMESİ BAŞKANLIĞINA]</w:t>
      </w:r>
    </w:p>
    <w:p>
      <w:pPr>
        <w:spacing w:after="30"/>
      </w:pPr>
      <w:r>
        <w:rPr>
          <w:b/>
        </w:rPr>
        <w:t xml:space="preserve">ESAS NO: </w:t>
      </w:r>
      <w:r>
        <w:t>[Gerçek esas numarası]</w:t>
      </w:r>
    </w:p>
    <w:p>
      <w:pPr>
        <w:spacing w:after="30"/>
      </w:pPr>
      <w:r>
        <w:rPr>
          <w:b/>
        </w:rPr>
        <w:t xml:space="preserve">BAŞVURAN: </w:t>
      </w:r>
      <w:r>
        <w:t>[Sanık / müdafi / katılan / vekil; ad-soyad ve güvenli adres]</w:t>
      </w:r>
    </w:p>
    <w:p>
      <w:pPr>
        <w:spacing w:after="30"/>
      </w:pPr>
      <w:r>
        <w:rPr>
          <w:b/>
        </w:rPr>
        <w:t xml:space="preserve">KARŞI TARAF: </w:t>
      </w:r>
      <w:r>
        <w:t>[Dosyadaki sıfat ve ad-soyad; gerekiyorsa]</w:t>
      </w:r>
    </w:p>
    <w:p>
      <w:pPr>
        <w:spacing w:before="40" w:after="80"/>
      </w:pPr>
      <w:r>
        <w:rPr>
          <w:b/>
        </w:rPr>
        <w:t xml:space="preserve">KONU: </w:t>
      </w:r>
      <w:r>
        <w:t>[Tarih] tarihli duruşmada mahkeme başkanı tarafından emredilen [tedbirin tam ve nesnel ifadesi] tedbirinin hukuken kabul edilemeyeceğine ilişkin CMK m.192/2 beyanımız hakkında mahkeme heyetince açık, gerekçeli ve tutanağa geçirilmiş karar verilmesi talebidir.</w:t>
      </w:r>
    </w:p>
    <w:p>
      <w:pPr>
        <w:pStyle w:val="Heading1"/>
      </w:pPr>
      <w:r>
        <w:t>AÇIKLAMALAR</w:t>
      </w:r>
    </w:p>
    <w:p>
      <w:pPr>
        <w:spacing w:after="70" w:line="247" w:lineRule="auto"/>
        <w:ind w:firstLine="317"/>
      </w:pPr>
      <w:r>
        <w:rPr>
          <w:b/>
        </w:rPr>
        <w:t xml:space="preserve">1. </w:t>
      </w:r>
      <w:r>
        <w:t>Mahkemenizin yukarıda numarası yazılı dosyasının [tarih] tarihli oturumunda mahkeme başkanı, duruşmanın yönetimi kapsamında ‘[emrin tutanaktaki veya duruşmada kullanılan tam ifadesi]’ yönünde tedbir emretmiştir. Tedbirin zamanı [saat/işlem sırası], muhatabı [kişi/sıfat] ve uygulama biçimi [somut işlem]dir.</w:t>
      </w:r>
    </w:p>
    <w:p>
      <w:pPr>
        <w:spacing w:after="70" w:line="247" w:lineRule="auto"/>
        <w:ind w:firstLine="317"/>
      </w:pPr>
      <w:r>
        <w:rPr>
          <w:b/>
        </w:rPr>
        <w:t xml:space="preserve">2. </w:t>
      </w:r>
      <w:r>
        <w:t>Tedbir şu nedenle hukuken kabul edilemez görülmektedir: [uygulanabilir açık kanun hükmü, savunma veya dinlenilme hakkına somut etkisi, orantısızlık ya da işlemin amacını aşan bölüm]. Soyut ‘hukuka aykırıdır’ ifadesi yerine tedbir ile ihlal edildiği ileri sürülen kural arasındaki bağ somutlaştırılmıştır.</w:t>
      </w:r>
    </w:p>
    <w:p>
      <w:pPr>
        <w:spacing w:after="70" w:line="247" w:lineRule="auto"/>
        <w:ind w:firstLine="317"/>
      </w:pPr>
      <w:r>
        <w:rPr>
          <w:b/>
        </w:rPr>
        <w:t xml:space="preserve">3. </w:t>
      </w:r>
      <w:r>
        <w:t>CMK m.192/1, mahkeme başkanı veya hâkimin duruşmayı yönetmesini, sanığı sorguya çekmesini ve delillerin ikame edilmesini sağlamasını düzenler. CMK m.192/2 ise duruşmada ilgili olanlardan birinin, mahkeme başkanınca emrolunan bir yönetim tedbirinin hukuken kabul edilemeyeceğini ileri sürmesi hâlinde mahkemenin bu hususta karar vereceğini açıkça belirtir.</w:t>
      </w:r>
    </w:p>
    <w:p>
      <w:pPr>
        <w:spacing w:after="70" w:line="247" w:lineRule="auto"/>
        <w:ind w:firstLine="317"/>
      </w:pPr>
      <w:r>
        <w:rPr>
          <w:b/>
        </w:rPr>
        <w:t xml:space="preserve">4. </w:t>
      </w:r>
      <w:r>
        <w:t>Başvuru, mahkeme başkanının duruşmayı yönetme yetkisini tümden ortadan kaldırma veya yargılamayı geciktirme amacı taşımaz. Yalnız [tedbirin belirli bölümü] yönünden heyet kararının oluşturulmasını ister. Uygun görülürse [daha dar alternatif: sorunun yeniden kurulması, kısa süre verilmesi, belgenin ilgili bölümünün okunması, belirli kişinin salonda kalması gibi somut seçenek] uygulanabilir.</w:t>
      </w:r>
    </w:p>
    <w:p>
      <w:pPr>
        <w:spacing w:after="70" w:line="247" w:lineRule="auto"/>
        <w:ind w:firstLine="317"/>
      </w:pPr>
      <w:r>
        <w:rPr>
          <w:b/>
        </w:rPr>
        <w:t xml:space="preserve">5. </w:t>
      </w:r>
      <w:r>
        <w:t>İtiraz edilen tedbir, hâkimin reddi istemi değildir. Hâkimin yasaklılığı veya tarafsızlığını şüpheye düşüren sebep ileri sürülüyorsa CMK m.24-31’in ayrı şart ve usulü uygulanır. Bu dilekçede kişiye değil, [tarih] tarihli belirli yönetim tedbirine ve onun hukuki sınırına odaklanılmıştır.</w:t>
      </w:r>
    </w:p>
    <w:p>
      <w:pPr>
        <w:spacing w:after="70" w:line="247" w:lineRule="auto"/>
        <w:ind w:firstLine="317"/>
      </w:pPr>
      <w:r>
        <w:rPr>
          <w:b/>
        </w:rPr>
        <w:t xml:space="preserve">6. </w:t>
      </w:r>
      <w:r>
        <w:t>Başvuru, CMK m.267 anlamında kendiliğinden bağımsız bir itiraz kanun yolu olarak sunulmamıştır. CMK m.192/2 duruşma içinde mahkemenin karar vermesini sağlayan özel mekanizmadır. Verilecek kararın ayrıca kanun yoluna tabi olup olmadığı, kararın niteliği ve hükümle bağlantısı üzerinden değerlendirilmelidir.</w:t>
      </w:r>
    </w:p>
    <w:p>
      <w:pPr>
        <w:spacing w:after="70" w:line="247" w:lineRule="auto"/>
        <w:ind w:firstLine="317"/>
      </w:pPr>
      <w:r>
        <w:rPr>
          <w:b/>
        </w:rPr>
        <w:t xml:space="preserve">7. </w:t>
      </w:r>
      <w:r>
        <w:t>CMK m.33 uyarınca duruşmada verilecek karardan önce hazır bulunan ilgililerin dinlenmesi; m.34 uyarınca hâkim ve mahkeme kararlarının gerekçeli olması gerekir. Bu nedenle beyanımızın, Cumhuriyet savcısı ile diğer ilgili tarafların görüşlerinin ve mahkeme kararının hangi somut nedene dayandığının tutanağa geçirilmesini talep ediyoruz.</w:t>
      </w:r>
    </w:p>
    <w:p>
      <w:pPr>
        <w:spacing w:after="70" w:line="247" w:lineRule="auto"/>
        <w:ind w:firstLine="317"/>
      </w:pPr>
      <w:r>
        <w:rPr>
          <w:b/>
        </w:rPr>
        <w:t xml:space="preserve">8. </w:t>
      </w:r>
      <w:r>
        <w:t>CMK m.221/1-b, g ve h uyarınca duruşmanın seyrini ve usule uygunluğu gösteren unsurlar, istemler ile ret gerekçeleri ve verilen kararlar tutanakta yer almalıdır. Başvurumuzun ve kararın eksiksiz kaydı, m.222’deki tutanağın ispat gücü nedeniyle sonraki denetim bakımından önem taşır.</w:t>
      </w:r>
    </w:p>
    <w:p>
      <w:pPr>
        <w:spacing w:after="70" w:line="247" w:lineRule="auto"/>
        <w:ind w:firstLine="317"/>
      </w:pPr>
      <w:r>
        <w:rPr>
          <w:b/>
        </w:rPr>
        <w:t xml:space="preserve">9. </w:t>
      </w:r>
      <w:r>
        <w:t>Tedbir doğrudan soru yöneltme düzeniyle ilgiliyse CMK m.201; salon düzeni veya çıkarma işlemiyle ilgiliyse CMK m.203-204; delilin ortaya konulmasıyla ilgiliyse CMK m.206 ve somut olaya uygulanabilen özel hüküm ayrıca değerlendirilmelidir. Bu dosyada bağlantılı özel düzenleme [madde ve somut gerekçe]dir.</w:t>
      </w:r>
    </w:p>
    <w:p>
      <w:pPr>
        <w:spacing w:before="60"/>
      </w:pPr>
      <w:r>
        <w:rPr>
          <w:b/>
        </w:rPr>
        <w:t xml:space="preserve">HUKUKİ NEDENLER: </w:t>
      </w:r>
      <w:r>
        <w:t>5271 sayılı CMK m.33, 34, 192, 201, 203-204, 219-222 ve somut olaya uygulanabilen diğer hükümler.</w:t>
      </w:r>
    </w:p>
    <w:p>
      <w:r>
        <w:rPr>
          <w:b/>
        </w:rPr>
        <w:t xml:space="preserve">DELİLLER VE KAYITLAR: </w:t>
      </w:r>
      <w:r>
        <w:t>[İlgili celse tutanağı ve UYAP evrak numarası], [aynı celsede sunulan yazılı beyan], [varsa teknik kayıt], [tedbirin uygulanışını gösteren gerçek dosya kaydı] ve yalnız gerçekten mevcut diğer belgeler.</w:t>
      </w:r>
    </w:p>
    <w:p>
      <w:pPr>
        <w:spacing w:before="60" w:after="80"/>
      </w:pPr>
      <w:r>
        <w:rPr>
          <w:b/>
        </w:rPr>
        <w:t xml:space="preserve">SONUÇ VE İSTEM: </w:t>
      </w:r>
      <w:r>
        <w:t>Açıklanan nedenlerle; (1) [tarih] tarihli oturumda mahkeme başkanınca emredilen [tedbirin tam ifadesi] tedbirinin CMK m.192/2 kapsamında mahkeme heyetince görüşülmesine, (2) tedbirin hukuken kabul edilebilir olup olmadığı hakkında taraflar dinlendikten sonra açık ve gerekçeli karar verilmesine, (3) başvurumuzun, görüşlerin, kararın ve gerekçesinin CMK m.221’e uygun biçimde duruşma tutanağına geçirilmesine, (4) tedbir hukuken kabul edilemez bulunursa uygulanmasının sona erdirilmesine veya yukarıda gösterilen daha dar yöntemle değiştirilmesine karar verilmesini saygıyla talep ederim. [Tarih]</w:t>
      </w:r>
    </w:p>
    <w:p>
      <w:pPr>
        <w:jc w:val="right"/>
      </w:pPr>
      <w:r>
        <w:rPr>
          <w:b/>
        </w:rPr>
        <w:t>Başvuran / müdafi / vekil</w:t>
        <w:br/>
      </w:r>
      <w:r>
        <w:t>[Ad-soyad ve imza]</w:t>
      </w:r>
    </w:p>
    <w:p>
      <w:pPr>
        <w:sectPr>
          <w:pgSz w:w="12240" w:h="15840"/>
          <w:pgMar w:top="691" w:right="965" w:bottom="691" w:left="965" w:header="720" w:footer="720" w:gutter="0"/>
          <w:cols w:space="720"/>
          <w:docGrid w:linePitch="360"/>
        </w:sectPr>
      </w:pPr>
    </w:p>
    <w:p>
      <w:pPr>
        <w:pStyle w:val="Heading1"/>
        <w:jc w:val="center"/>
      </w:pPr>
      <w:r>
        <w:t>Tedbir ve Hukuki İtiraz Kayıt Çizelgesi</w:t>
      </w:r>
    </w:p>
    <w:p>
      <w:r>
        <w:t>Aşağıdaki satırlar gerçek tutanak ve dosya kayıtlarına göre doldurulmalıdır. Görülmemiş bir kayıt, söylenmemiş bir emir veya açıklanmamış bir gerekçe varmış gibi yazılmamalıdır.</w:t>
      </w:r>
    </w:p>
    <w:tbl>
      <w:tblPr>
        <w:tblStyle w:val="TableGrid"/>
        <w:tblW w:type="auto" w:w="0"/>
        <w:tblLayout w:type="fixed"/>
        <w:tblLook w:firstColumn="1" w:firstRow="1" w:lastColumn="0" w:lastRow="0" w:noHBand="0" w:noVBand="1" w:val="04A0"/>
      </w:tblPr>
      <w:tblGrid>
        <w:gridCol w:w="3437"/>
        <w:gridCol w:w="3437"/>
        <w:gridCol w:w="3437"/>
      </w:tblGrid>
      <w:tr>
        <w:trPr>
          <w:tblHeader w:val="true"/>
        </w:trPr>
        <w:tc>
          <w:tcPr>
            <w:tcW w:type="dxa" w:w="2088"/>
            <w:vAlign w:val="center"/>
            <w:tcMar>
              <w:top w:w="70" w:type="dxa"/>
              <w:start w:w="80" w:type="dxa"/>
              <w:bottom w:w="70" w:type="dxa"/>
              <w:end w:w="80" w:type="dxa"/>
            </w:tcMar>
            <w:shd w:fill="1F4E78"/>
          </w:tcPr>
          <w:p>
            <w:pPr>
              <w:jc w:val="center"/>
            </w:pPr>
            <w:r>
              <w:rPr>
                <w:rFonts w:ascii="Times New Roman" w:hAnsi="Times New Roman"/>
                <w:b/>
                <w:color w:val="FFFFFF"/>
                <w:sz w:val="16"/>
              </w:rPr>
              <w:t>Alan</w:t>
            </w:r>
          </w:p>
        </w:tc>
        <w:tc>
          <w:tcPr>
            <w:tcW w:type="dxa" w:w="4968"/>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880"/>
            <w:vAlign w:val="center"/>
            <w:tcMar>
              <w:top w:w="70" w:type="dxa"/>
              <w:start w:w="80" w:type="dxa"/>
              <w:bottom w:w="70" w:type="dxa"/>
              <w:end w:w="80" w:type="dxa"/>
            </w:tcMar>
            <w:shd w:fill="1F4E78"/>
          </w:tcPr>
          <w:p>
            <w:pPr>
              <w:jc w:val="center"/>
            </w:pPr>
            <w:r>
              <w:rPr>
                <w:rFonts w:ascii="Times New Roman" w:hAnsi="Times New Roman"/>
                <w:b/>
                <w:color w:val="FFFFFF"/>
                <w:sz w:val="16"/>
              </w:rPr>
              <w:t>Kontrol Amacı</w:t>
            </w:r>
          </w:p>
        </w:tc>
      </w:tr>
      <w:tr>
        <w:tc>
          <w:tcPr>
            <w:tcW w:type="dxa" w:w="2088"/>
            <w:vAlign w:val="center"/>
            <w:tcMar>
              <w:top w:w="70" w:type="dxa"/>
              <w:start w:w="80" w:type="dxa"/>
              <w:bottom w:w="70" w:type="dxa"/>
              <w:end w:w="80" w:type="dxa"/>
            </w:tcMar>
          </w:tcPr>
          <w:p>
            <w:pPr>
              <w:spacing w:after="0" w:line="240" w:lineRule="auto"/>
            </w:pPr>
            <w:r>
              <w:rPr>
                <w:rFonts w:ascii="Times New Roman" w:hAnsi="Times New Roman"/>
                <w:sz w:val="15"/>
              </w:rPr>
              <w:t>Oturum</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[Tarih, saat ve celse sıra no]</w:t>
            </w:r>
          </w:p>
        </w:tc>
        <w:tc>
          <w:tcPr>
            <w:tcW w:type="dxa" w:w="2880"/>
            <w:vAlign w:val="center"/>
            <w:tcMar>
              <w:top w:w="70" w:type="dxa"/>
              <w:start w:w="80" w:type="dxa"/>
              <w:bottom w:w="70" w:type="dxa"/>
              <w:end w:w="80" w:type="dxa"/>
            </w:tcMar>
          </w:tcPr>
          <w:p>
            <w:pPr>
              <w:spacing w:after="0" w:line="240" w:lineRule="auto"/>
            </w:pPr>
            <w:r>
              <w:rPr>
                <w:rFonts w:ascii="Times New Roman" w:hAnsi="Times New Roman"/>
                <w:sz w:val="15"/>
              </w:rPr>
              <w:t>Doğru celse</w:t>
            </w:r>
          </w:p>
        </w:tc>
      </w:tr>
      <w:tr>
        <w:tc>
          <w:tcPr>
            <w:tcW w:type="dxa" w:w="2088"/>
            <w:vAlign w:val="center"/>
            <w:tcMar>
              <w:top w:w="70" w:type="dxa"/>
              <w:start w:w="80" w:type="dxa"/>
              <w:bottom w:w="70" w:type="dxa"/>
              <w:end w:w="80" w:type="dxa"/>
            </w:tcMar>
            <w:shd w:fill="EAF2F8"/>
          </w:tcPr>
          <w:p>
            <w:pPr>
              <w:spacing w:after="0" w:line="240" w:lineRule="auto"/>
            </w:pPr>
            <w:r>
              <w:rPr>
                <w:rFonts w:ascii="Times New Roman" w:hAnsi="Times New Roman"/>
                <w:sz w:val="15"/>
              </w:rPr>
              <w:t>Tedbiri emreden</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[Mahkeme başkanı ve görevi]</w:t>
            </w:r>
          </w:p>
        </w:tc>
        <w:tc>
          <w:tcPr>
            <w:tcW w:type="dxa" w:w="2880"/>
            <w:vAlign w:val="center"/>
            <w:tcMar>
              <w:top w:w="70" w:type="dxa"/>
              <w:start w:w="80" w:type="dxa"/>
              <w:bottom w:w="70" w:type="dxa"/>
              <w:end w:w="80" w:type="dxa"/>
            </w:tcMar>
            <w:shd w:fill="EAF2F8"/>
          </w:tcPr>
          <w:p>
            <w:pPr>
              <w:spacing w:after="0" w:line="240" w:lineRule="auto"/>
            </w:pPr>
            <w:r>
              <w:rPr>
                <w:rFonts w:ascii="Times New Roman" w:hAnsi="Times New Roman"/>
                <w:sz w:val="15"/>
              </w:rPr>
              <w:t>CMK 192/2 öznesi</w:t>
            </w:r>
          </w:p>
        </w:tc>
      </w:tr>
      <w:tr>
        <w:tc>
          <w:tcPr>
            <w:tcW w:type="dxa" w:w="2088"/>
            <w:vAlign w:val="center"/>
            <w:tcMar>
              <w:top w:w="70" w:type="dxa"/>
              <w:start w:w="80" w:type="dxa"/>
              <w:bottom w:w="70" w:type="dxa"/>
              <w:end w:w="80" w:type="dxa"/>
            </w:tcMar>
          </w:tcPr>
          <w:p>
            <w:pPr>
              <w:spacing w:after="0" w:line="240" w:lineRule="auto"/>
            </w:pPr>
            <w:r>
              <w:rPr>
                <w:rFonts w:ascii="Times New Roman" w:hAnsi="Times New Roman"/>
                <w:sz w:val="15"/>
              </w:rPr>
              <w:t>Tedbir</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[Tam ve nesnel emir cümlesi]</w:t>
            </w:r>
          </w:p>
        </w:tc>
        <w:tc>
          <w:tcPr>
            <w:tcW w:type="dxa" w:w="2880"/>
            <w:vAlign w:val="center"/>
            <w:tcMar>
              <w:top w:w="70" w:type="dxa"/>
              <w:start w:w="80" w:type="dxa"/>
              <w:bottom w:w="70" w:type="dxa"/>
              <w:end w:w="80" w:type="dxa"/>
            </w:tcMar>
          </w:tcPr>
          <w:p>
            <w:pPr>
              <w:spacing w:after="0" w:line="240" w:lineRule="auto"/>
            </w:pPr>
            <w:r>
              <w:rPr>
                <w:rFonts w:ascii="Times New Roman" w:hAnsi="Times New Roman"/>
                <w:sz w:val="15"/>
              </w:rPr>
              <w:t>Belirsizliği önleme</w:t>
            </w:r>
          </w:p>
        </w:tc>
      </w:tr>
      <w:tr>
        <w:tc>
          <w:tcPr>
            <w:tcW w:type="dxa" w:w="2088"/>
            <w:vAlign w:val="center"/>
            <w:tcMar>
              <w:top w:w="70" w:type="dxa"/>
              <w:start w:w="80" w:type="dxa"/>
              <w:bottom w:w="70" w:type="dxa"/>
              <w:end w:w="80" w:type="dxa"/>
            </w:tcMar>
            <w:shd w:fill="EAF2F8"/>
          </w:tcPr>
          <w:p>
            <w:pPr>
              <w:spacing w:after="0" w:line="240" w:lineRule="auto"/>
            </w:pPr>
            <w:r>
              <w:rPr>
                <w:rFonts w:ascii="Times New Roman" w:hAnsi="Times New Roman"/>
                <w:sz w:val="15"/>
              </w:rPr>
              <w:t>Muhatap</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[Sanık/müdafi/katılan/tanık vb.]</w:t>
            </w:r>
          </w:p>
        </w:tc>
        <w:tc>
          <w:tcPr>
            <w:tcW w:type="dxa" w:w="2880"/>
            <w:vAlign w:val="center"/>
            <w:tcMar>
              <w:top w:w="70" w:type="dxa"/>
              <w:start w:w="80" w:type="dxa"/>
              <w:bottom w:w="70" w:type="dxa"/>
              <w:end w:w="80" w:type="dxa"/>
            </w:tcMar>
            <w:shd w:fill="EAF2F8"/>
          </w:tcPr>
          <w:p>
            <w:pPr>
              <w:spacing w:after="0" w:line="240" w:lineRule="auto"/>
            </w:pPr>
            <w:r>
              <w:rPr>
                <w:rFonts w:ascii="Times New Roman" w:hAnsi="Times New Roman"/>
                <w:sz w:val="15"/>
              </w:rPr>
              <w:t>İlgililik</w:t>
            </w:r>
          </w:p>
        </w:tc>
      </w:tr>
      <w:tr>
        <w:tc>
          <w:tcPr>
            <w:tcW w:type="dxa" w:w="2088"/>
            <w:vAlign w:val="center"/>
            <w:tcMar>
              <w:top w:w="70" w:type="dxa"/>
              <w:start w:w="80" w:type="dxa"/>
              <w:bottom w:w="70" w:type="dxa"/>
              <w:end w:w="80" w:type="dxa"/>
            </w:tcMar>
          </w:tcPr>
          <w:p>
            <w:pPr>
              <w:spacing w:after="0" w:line="240" w:lineRule="auto"/>
            </w:pPr>
            <w:r>
              <w:rPr>
                <w:rFonts w:ascii="Times New Roman" w:hAnsi="Times New Roman"/>
                <w:sz w:val="15"/>
              </w:rPr>
              <w:t>Somut etki</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[Hangi işlem veya hakkı nasıl etkiledi]</w:t>
            </w:r>
          </w:p>
        </w:tc>
        <w:tc>
          <w:tcPr>
            <w:tcW w:type="dxa" w:w="2880"/>
            <w:vAlign w:val="center"/>
            <w:tcMar>
              <w:top w:w="70" w:type="dxa"/>
              <w:start w:w="80" w:type="dxa"/>
              <w:bottom w:w="70" w:type="dxa"/>
              <w:end w:w="80" w:type="dxa"/>
            </w:tcMar>
          </w:tcPr>
          <w:p>
            <w:pPr>
              <w:spacing w:after="0" w:line="240" w:lineRule="auto"/>
            </w:pPr>
            <w:r>
              <w:rPr>
                <w:rFonts w:ascii="Times New Roman" w:hAnsi="Times New Roman"/>
                <w:sz w:val="15"/>
              </w:rPr>
              <w:t>Hukuki bağ</w:t>
            </w:r>
          </w:p>
        </w:tc>
      </w:tr>
      <w:tr>
        <w:tc>
          <w:tcPr>
            <w:tcW w:type="dxa" w:w="2088"/>
            <w:vAlign w:val="center"/>
            <w:tcMar>
              <w:top w:w="70" w:type="dxa"/>
              <w:start w:w="80" w:type="dxa"/>
              <w:bottom w:w="70" w:type="dxa"/>
              <w:end w:w="80" w:type="dxa"/>
            </w:tcMar>
            <w:shd w:fill="EAF2F8"/>
          </w:tcPr>
          <w:p>
            <w:pPr>
              <w:spacing w:after="0" w:line="240" w:lineRule="auto"/>
            </w:pPr>
            <w:r>
              <w:rPr>
                <w:rFonts w:ascii="Times New Roman" w:hAnsi="Times New Roman"/>
                <w:sz w:val="15"/>
              </w:rPr>
              <w:t>Aykırılık dayanağı</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[Madde/fıkra ve dosyadaki olgu]</w:t>
            </w:r>
          </w:p>
        </w:tc>
        <w:tc>
          <w:tcPr>
            <w:tcW w:type="dxa" w:w="2880"/>
            <w:vAlign w:val="center"/>
            <w:tcMar>
              <w:top w:w="70" w:type="dxa"/>
              <w:start w:w="80" w:type="dxa"/>
              <w:bottom w:w="70" w:type="dxa"/>
              <w:end w:w="80" w:type="dxa"/>
            </w:tcMar>
            <w:shd w:fill="EAF2F8"/>
          </w:tcPr>
          <w:p>
            <w:pPr>
              <w:spacing w:after="0" w:line="240" w:lineRule="auto"/>
            </w:pPr>
            <w:r>
              <w:rPr>
                <w:rFonts w:ascii="Times New Roman" w:hAnsi="Times New Roman"/>
                <w:sz w:val="15"/>
              </w:rPr>
              <w:t>Soyutluğu önleme</w:t>
            </w:r>
          </w:p>
        </w:tc>
      </w:tr>
      <w:tr>
        <w:tc>
          <w:tcPr>
            <w:tcW w:type="dxa" w:w="2088"/>
            <w:vAlign w:val="center"/>
            <w:tcMar>
              <w:top w:w="70" w:type="dxa"/>
              <w:start w:w="80" w:type="dxa"/>
              <w:bottom w:w="70" w:type="dxa"/>
              <w:end w:w="80" w:type="dxa"/>
            </w:tcMar>
          </w:tcPr>
          <w:p>
            <w:pPr>
              <w:spacing w:after="0" w:line="240" w:lineRule="auto"/>
            </w:pPr>
            <w:r>
              <w:rPr>
                <w:rFonts w:ascii="Times New Roman" w:hAnsi="Times New Roman"/>
                <w:sz w:val="15"/>
              </w:rPr>
              <w:t>Daha dar seçenek</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[Uygulanabilir alternatif]</w:t>
            </w:r>
          </w:p>
        </w:tc>
        <w:tc>
          <w:tcPr>
            <w:tcW w:type="dxa" w:w="2880"/>
            <w:vAlign w:val="center"/>
            <w:tcMar>
              <w:top w:w="70" w:type="dxa"/>
              <w:start w:w="80" w:type="dxa"/>
              <w:bottom w:w="70" w:type="dxa"/>
              <w:end w:w="80" w:type="dxa"/>
            </w:tcMar>
          </w:tcPr>
          <w:p>
            <w:pPr>
              <w:spacing w:after="0" w:line="240" w:lineRule="auto"/>
            </w:pPr>
            <w:r>
              <w:rPr>
                <w:rFonts w:ascii="Times New Roman" w:hAnsi="Times New Roman"/>
                <w:sz w:val="15"/>
              </w:rPr>
              <w:t>Orantılılık</w:t>
            </w:r>
          </w:p>
        </w:tc>
      </w:tr>
      <w:tr>
        <w:tc>
          <w:tcPr>
            <w:tcW w:type="dxa" w:w="2088"/>
            <w:vAlign w:val="center"/>
            <w:tcMar>
              <w:top w:w="70" w:type="dxa"/>
              <w:start w:w="80" w:type="dxa"/>
              <w:bottom w:w="70" w:type="dxa"/>
              <w:end w:w="80" w:type="dxa"/>
            </w:tcMar>
            <w:shd w:fill="EAF2F8"/>
          </w:tcPr>
          <w:p>
            <w:pPr>
              <w:spacing w:after="0" w:line="240" w:lineRule="auto"/>
            </w:pPr>
            <w:r>
              <w:rPr>
                <w:rFonts w:ascii="Times New Roman" w:hAnsi="Times New Roman"/>
                <w:sz w:val="15"/>
              </w:rPr>
              <w:t>Sözlü beyan</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[Tam ifade ve tutanak yeri]</w:t>
            </w:r>
          </w:p>
        </w:tc>
        <w:tc>
          <w:tcPr>
            <w:tcW w:type="dxa" w:w="2880"/>
            <w:vAlign w:val="center"/>
            <w:tcMar>
              <w:top w:w="70" w:type="dxa"/>
              <w:start w:w="80" w:type="dxa"/>
              <w:bottom w:w="70" w:type="dxa"/>
              <w:end w:w="80" w:type="dxa"/>
            </w:tcMar>
            <w:shd w:fill="EAF2F8"/>
          </w:tcPr>
          <w:p>
            <w:pPr>
              <w:spacing w:after="0" w:line="240" w:lineRule="auto"/>
            </w:pPr>
            <w:r>
              <w:rPr>
                <w:rFonts w:ascii="Times New Roman" w:hAnsi="Times New Roman"/>
                <w:sz w:val="15"/>
              </w:rPr>
              <w:t>Başvuru kaydı</w:t>
            </w:r>
          </w:p>
        </w:tc>
      </w:tr>
      <w:tr>
        <w:tc>
          <w:tcPr>
            <w:tcW w:type="dxa" w:w="2088"/>
            <w:vAlign w:val="center"/>
            <w:tcMar>
              <w:top w:w="70" w:type="dxa"/>
              <w:start w:w="80" w:type="dxa"/>
              <w:bottom w:w="70" w:type="dxa"/>
              <w:end w:w="80" w:type="dxa"/>
            </w:tcMar>
          </w:tcPr>
          <w:p>
            <w:pPr>
              <w:spacing w:after="0" w:line="240" w:lineRule="auto"/>
            </w:pPr>
            <w:r>
              <w:rPr>
                <w:rFonts w:ascii="Times New Roman" w:hAnsi="Times New Roman"/>
                <w:sz w:val="15"/>
              </w:rPr>
              <w:t>Mahkeme kararı</w:t>
            </w:r>
          </w:p>
        </w:tc>
        <w:tc>
          <w:tcPr>
            <w:tcW w:type="dxa" w:w="4968"/>
            <w:vAlign w:val="center"/>
            <w:tcMar>
              <w:top w:w="70" w:type="dxa"/>
              <w:start w:w="80" w:type="dxa"/>
              <w:bottom w:w="70" w:type="dxa"/>
              <w:end w:w="80" w:type="dxa"/>
            </w:tcMar>
          </w:tcPr>
          <w:p>
            <w:pPr>
              <w:spacing w:after="0" w:line="240" w:lineRule="auto"/>
            </w:pPr>
            <w:r>
              <w:rPr>
                <w:rFonts w:ascii="Times New Roman" w:hAnsi="Times New Roman"/>
                <w:sz w:val="15"/>
              </w:rPr>
              <w:t>[Sonuç ve somut gerekçe]</w:t>
            </w:r>
          </w:p>
        </w:tc>
        <w:tc>
          <w:tcPr>
            <w:tcW w:type="dxa" w:w="2880"/>
            <w:vAlign w:val="center"/>
            <w:tcMar>
              <w:top w:w="70" w:type="dxa"/>
              <w:start w:w="80" w:type="dxa"/>
              <w:bottom w:w="70" w:type="dxa"/>
              <w:end w:w="80" w:type="dxa"/>
            </w:tcMar>
          </w:tcPr>
          <w:p>
            <w:pPr>
              <w:spacing w:after="0" w:line="240" w:lineRule="auto"/>
            </w:pPr>
            <w:r>
              <w:rPr>
                <w:rFonts w:ascii="Times New Roman" w:hAnsi="Times New Roman"/>
                <w:sz w:val="15"/>
              </w:rPr>
              <w:t>CMK 192/2</w:t>
            </w:r>
          </w:p>
        </w:tc>
      </w:tr>
      <w:tr>
        <w:tc>
          <w:tcPr>
            <w:tcW w:type="dxa" w:w="2088"/>
            <w:vAlign w:val="center"/>
            <w:tcMar>
              <w:top w:w="70" w:type="dxa"/>
              <w:start w:w="80" w:type="dxa"/>
              <w:bottom w:w="70" w:type="dxa"/>
              <w:end w:w="80" w:type="dxa"/>
            </w:tcMar>
            <w:shd w:fill="EAF2F8"/>
          </w:tcPr>
          <w:p>
            <w:pPr>
              <w:spacing w:after="0" w:line="240" w:lineRule="auto"/>
            </w:pPr>
            <w:r>
              <w:rPr>
                <w:rFonts w:ascii="Times New Roman" w:hAnsi="Times New Roman"/>
                <w:sz w:val="15"/>
              </w:rPr>
              <w:t>Tutanak kontrolü</w:t>
            </w:r>
          </w:p>
        </w:tc>
        <w:tc>
          <w:tcPr>
            <w:tcW w:type="dxa" w:w="4968"/>
            <w:vAlign w:val="center"/>
            <w:tcMar>
              <w:top w:w="70" w:type="dxa"/>
              <w:start w:w="80" w:type="dxa"/>
              <w:bottom w:w="70" w:type="dxa"/>
              <w:end w:w="80" w:type="dxa"/>
            </w:tcMar>
            <w:shd w:fill="EAF2F8"/>
          </w:tcPr>
          <w:p>
            <w:pPr>
              <w:spacing w:after="0" w:line="240" w:lineRule="auto"/>
            </w:pPr>
            <w:r>
              <w:rPr>
                <w:rFonts w:ascii="Times New Roman" w:hAnsi="Times New Roman"/>
                <w:sz w:val="15"/>
              </w:rPr>
              <w:t>[Sayfa/satır/UYAP evrak no]</w:t>
            </w:r>
          </w:p>
        </w:tc>
        <w:tc>
          <w:tcPr>
            <w:tcW w:type="dxa" w:w="2880"/>
            <w:vAlign w:val="center"/>
            <w:tcMar>
              <w:top w:w="70" w:type="dxa"/>
              <w:start w:w="80" w:type="dxa"/>
              <w:bottom w:w="70" w:type="dxa"/>
              <w:end w:w="80" w:type="dxa"/>
            </w:tcMar>
            <w:shd w:fill="EAF2F8"/>
          </w:tcPr>
          <w:p>
            <w:pPr>
              <w:spacing w:after="0" w:line="240" w:lineRule="auto"/>
            </w:pPr>
            <w:r>
              <w:rPr>
                <w:rFonts w:ascii="Times New Roman" w:hAnsi="Times New Roman"/>
                <w:sz w:val="15"/>
              </w:rPr>
              <w:t>CMK 221-222</w:t>
            </w:r>
          </w:p>
        </w:tc>
      </w:tr>
    </w:tbl>
    <w:p>
      <w:pPr>
        <w:pStyle w:val="Heading1"/>
      </w:pPr>
      <w:r>
        <w:t>Sunum Öncesi Kontrol</w:t>
      </w:r>
    </w:p>
    <w:p>
      <w:pPr>
        <w:spacing w:after="30"/>
        <w:ind w:left="259" w:hanging="259"/>
      </w:pPr>
      <w:r>
        <w:t xml:space="preserve">☐ </w:t>
      </w:r>
      <w:r>
        <w:t>Başvuru mahkeme başkanının belirli yönetim tedbirini gösteriyor; soyut şikâyet içermiyor.</w:t>
      </w:r>
    </w:p>
    <w:p>
      <w:pPr>
        <w:spacing w:after="30"/>
        <w:ind w:left="259" w:hanging="259"/>
      </w:pPr>
      <w:r>
        <w:t xml:space="preserve">☐ </w:t>
      </w:r>
      <w:r>
        <w:t>CMK 192/2'nin açık lafzı korundu; tek hâkimli mahkeme hakkında metinde olmayan kesin sonuç kurulmadı.</w:t>
      </w:r>
    </w:p>
    <w:p>
      <w:pPr>
        <w:spacing w:after="30"/>
        <w:ind w:left="259" w:hanging="259"/>
      </w:pPr>
      <w:r>
        <w:t xml:space="preserve">☐ </w:t>
      </w:r>
      <w:r>
        <w:t>Tedbirin tam cümlesi, tarihi, muhatabı ve uygulanış biçimi yazıldı.</w:t>
      </w:r>
    </w:p>
    <w:p>
      <w:pPr>
        <w:spacing w:after="30"/>
        <w:ind w:left="259" w:hanging="259"/>
      </w:pPr>
      <w:r>
        <w:t xml:space="preserve">☐ </w:t>
      </w:r>
      <w:r>
        <w:t>Hukuken kabul edilemezlik iddiası açık madde ve somut etkiyle bağlandı.</w:t>
      </w:r>
    </w:p>
    <w:p>
      <w:pPr>
        <w:spacing w:after="30"/>
        <w:ind w:left="259" w:hanging="259"/>
      </w:pPr>
      <w:r>
        <w:t xml:space="preserve">☐ </w:t>
      </w:r>
      <w:r>
        <w:t>Hâkim reddi, olağan itiraz kanun yolu ve tutanak düzeltmesiyle fark açıklandı.</w:t>
      </w:r>
    </w:p>
    <w:p>
      <w:pPr>
        <w:spacing w:after="30"/>
        <w:ind w:left="259" w:hanging="259"/>
      </w:pPr>
      <w:r>
        <w:t xml:space="preserve">☐ </w:t>
      </w:r>
      <w:r>
        <w:t>Daha dar ve uygulanabilir alternatif varsa belirtildi.</w:t>
      </w:r>
    </w:p>
    <w:p>
      <w:pPr>
        <w:spacing w:after="30"/>
        <w:ind w:left="259" w:hanging="259"/>
      </w:pPr>
      <w:r>
        <w:t xml:space="preserve">☐ </w:t>
      </w:r>
      <w:r>
        <w:t>Yalnız gerçekten mevcut tutanak, teknik kayıt ve ekler gösterildi.</w:t>
      </w:r>
    </w:p>
    <w:p>
      <w:pPr>
        <w:spacing w:after="30"/>
        <w:ind w:left="259" w:hanging="259"/>
      </w:pPr>
      <w:r>
        <w:t xml:space="preserve">☐ </w:t>
      </w:r>
      <w:r>
        <w:t>Mahkemenin karar vermesi, gerekçe ve tutanak kaydı ayrı ayrı istendi.</w:t>
      </w:r>
    </w:p>
    <w:p>
      <w:pPr>
        <w:spacing w:after="30"/>
        <w:ind w:left="259" w:hanging="259"/>
      </w:pPr>
      <w:r>
        <w:t xml:space="preserve">☐ </w:t>
      </w:r>
      <w:r>
        <w:t>Başvurunun kanun yolu süresini durdurduğu veya tedbiri kendiliğinden kaldırdığı ileri sürülmedi.</w:t>
      </w:r>
    </w:p>
    <w:p>
      <w:pPr>
        <w:spacing w:after="30"/>
        <w:ind w:left="259" w:hanging="259"/>
      </w:pPr>
      <w:r>
        <w:t xml:space="preserve">☐ </w:t>
      </w:r>
      <w:r>
        <w:t>Köşeli alanlar dolduruldu, uygun olmayan seçenekler sunulacak nüshadan çıkarıldı.</w:t>
      </w:r>
    </w:p>
    <w:p>
      <w:pPr>
        <w:spacing w:before="100"/>
      </w:pPr>
      <w:r>
        <w:rPr>
          <w:b/>
        </w:rPr>
        <w:t xml:space="preserve">Kullanım notu: </w:t>
      </w:r>
      <w:r>
        <w:t>Bu belge düzenlenebilir örnektir. Somut tedbirin kapsamı, ilgili kişinin sıfatı, duruşmada söylenen sözler, bağlantılı özel hüküm ve mevcut kayıtlar gerçek dosya incelenerek uyarlanmalıdır.</w:t>
      </w:r>
    </w:p>
    <w:sectPr w:rsidR="00FC693F" w:rsidRPr="0006063C" w:rsidSect="00034616">
      <w:pgSz w:w="12240" w:h="15840"/>
      <w:pgMar w:top="691" w:right="965" w:bottom="691"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5"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50"/>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192/2 Duruşma Yönetimi Tedbirinin Mahkemece Karara Bağlanması Talebi</dc:title>
  <dc:subject>Düzenlenebilir ceza yargılaması dilekçe örneği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