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CMK 193/2 Sanığın Yokluğunda Beraat veya Düşme Talebi</w:t>
      </w:r>
    </w:p>
    <w:p>
      <w:pPr>
        <w:spacing w:after="90"/>
        <w:jc w:val="center"/>
      </w:pPr>
      <w:r>
        <w:rPr>
          <w:b/>
          <w:sz w:val="20"/>
        </w:rPr>
        <w:t>[İLGİLİ ASLİYE CEZA MAHKEMESİNE / AĞIR CEZA MAHKEMESİ BAŞKANLIĞINA]</w:t>
      </w:r>
    </w:p>
    <w:p>
      <w:pPr>
        <w:spacing w:after="28"/>
      </w:pPr>
      <w:r>
        <w:rPr>
          <w:b/>
        </w:rPr>
        <w:t xml:space="preserve">ESAS NO: </w:t>
      </w:r>
      <w:r>
        <w:t>[Gerçek esas numarası]</w:t>
      </w:r>
    </w:p>
    <w:p>
      <w:pPr>
        <w:spacing w:after="28"/>
      </w:pPr>
      <w:r>
        <w:rPr>
          <w:b/>
        </w:rPr>
        <w:t xml:space="preserve">SANIK: </w:t>
      </w:r>
      <w:r>
        <w:t>[Ad-soyad, T.C. kimlik no yalnız gerekiyorsa ve güvenli tebligat adresi]</w:t>
      </w:r>
    </w:p>
    <w:p>
      <w:pPr>
        <w:spacing w:after="28"/>
      </w:pPr>
      <w:r>
        <w:rPr>
          <w:b/>
        </w:rPr>
        <w:t xml:space="preserve">MÜDAFİ: </w:t>
      </w:r>
      <w:r>
        <w:t>[Varsa avukat adı-soyadı, baro ve sicil numarası, adres]</w:t>
      </w:r>
    </w:p>
    <w:p>
      <w:pPr>
        <w:spacing w:after="28"/>
      </w:pPr>
      <w:r>
        <w:rPr>
          <w:b/>
        </w:rPr>
        <w:t xml:space="preserve">KATILAN / MÜŞTEKİ: </w:t>
      </w:r>
      <w:r>
        <w:t>[Dosyadaki gerçek sıfat ve ad-soyad; varsa]</w:t>
      </w:r>
    </w:p>
    <w:p>
      <w:pPr>
        <w:spacing w:before="40" w:after="70"/>
      </w:pPr>
      <w:r>
        <w:rPr>
          <w:b/>
        </w:rPr>
        <w:t xml:space="preserve">KONU: </w:t>
      </w:r>
      <w:r>
        <w:t>Sanığın sorgusu henüz yapılmamış ve sanık duruşmada hazır değilken, [inceleme tarihi] itibarıyla toplanan delillerin CMK m.193/2'de sayılan mahkûmiyet, ceza verilmesine yer olmadığı ve güvenlik tedbiri dışındaki [beraat / davanın düşmesi] kararını gerektirdiği açıklanarak davanın sanığın yokluğunda bitirilmesi talebidir.</w:t>
      </w:r>
    </w:p>
    <w:p>
      <w:pPr>
        <w:pStyle w:val="Heading1"/>
      </w:pPr>
      <w:r>
        <w:t>AÇIKLAMALAR</w:t>
      </w:r>
    </w:p>
    <w:p>
      <w:pPr>
        <w:spacing w:after="64" w:line="245" w:lineRule="auto"/>
        <w:ind w:firstLine="317"/>
      </w:pPr>
      <w:r>
        <w:rPr>
          <w:b/>
        </w:rPr>
        <w:t xml:space="preserve">1. </w:t>
      </w:r>
      <w:r>
        <w:t>Dosyanın usulî seyri şöyledir: iddianamenin kabul tarihi [tarih], isnat edilen fiil ve sevk maddeleri [dosyadaki şekliyle], sanık için çıkarılan çağrı veya tebligatın durumu [gerçek kayıt] ve son celse tarihi [tarih]tir. Sanığın sorgusu yapılmamış; buna karşılık aşağıda gösterilen deliller dosyaya alınmıştır.</w:t>
      </w:r>
    </w:p>
    <w:p>
      <w:pPr>
        <w:spacing w:after="64" w:line="245" w:lineRule="auto"/>
        <w:ind w:firstLine="317"/>
      </w:pPr>
      <w:r>
        <w:rPr>
          <w:b/>
        </w:rPr>
        <w:t xml:space="preserve">2. </w:t>
      </w:r>
      <w:r>
        <w:t>CMK m.193/1 kural olarak sanığın duruşmada hazır bulunmasını ve yokluğunda duruşma yapılmamasını öngörür. Aynı maddenin ikinci fıkrası ise istisnai bir bitirme yetkisi verir: toplanan delillere göre mahkûmiyet, ceza verilmesine yer olmadığı ve güvenlik tedbiri dışında bir karar gerektiği kanısına varılırsa sorgu yapılmadan da dava sanığın yokluğunda bitirilebilir.</w:t>
      </w:r>
    </w:p>
    <w:p>
      <w:pPr>
        <w:spacing w:after="64" w:line="245" w:lineRule="auto"/>
        <w:ind w:firstLine="317"/>
      </w:pPr>
      <w:r>
        <w:rPr>
          <w:b/>
        </w:rPr>
        <w:t xml:space="preserve">3. </w:t>
      </w:r>
      <w:r>
        <w:t>Fıkranın güncel metni 7445 sayılı Kanun'un 20. maddesiyle değiştirilmiştir. Bu nedenle eski metindeki yalnız 'mahkûmiyet dışında' ibaresine dayanılmamıştır. Güncel düzenleme, mahkûmiyet yanında ceza verilmesine yer olmadığı ve güvenlik tedbiri kararlarını da bu istisnanın dışında bırakır.</w:t>
      </w:r>
    </w:p>
    <w:p>
      <w:pPr>
        <w:spacing w:after="64" w:line="245" w:lineRule="auto"/>
        <w:ind w:firstLine="317"/>
      </w:pPr>
      <w:r>
        <w:rPr>
          <w:b/>
        </w:rPr>
        <w:t xml:space="preserve">4. </w:t>
      </w:r>
      <w:r>
        <w:t>Dosyadaki [belge, rapor, tutanak, görüntü çözümü, tanık anlatımı veya kurumsal kayıt] birlikte incelendiğinde CMK m.223/2'nin [a/b/c/d/e] bendindeki beraat nedeni oluşmaktadır: [uygun bentteki kanuni ölçüt ve somut dosya bağlantısı]. Yalnız uygulanabilir bent bırakılmalı; birbirini dışlayan gerekçeler aynı anda ileri sürülmemelidir.</w:t>
      </w:r>
    </w:p>
    <w:p>
      <w:pPr>
        <w:spacing w:after="64" w:line="245" w:lineRule="auto"/>
        <w:ind w:firstLine="317"/>
      </w:pPr>
      <w:r>
        <w:rPr>
          <w:b/>
        </w:rPr>
        <w:t xml:space="preserve">5. </w:t>
      </w:r>
      <w:r>
        <w:t>Talep davanın düşmesine dayanıyorsa CMK m.223/8'deki [düşme nedeni] dosyanın [tarih ve kayıt] unsurlarıyla açıklanmalıdır. Bununla birlikte derhâl beraat verilebilecek bir hâl varsa CMK m.223/9 gereğince düşme veya ceza verilmesine yer olmadığı kararı kurulamaz; bu durumda beraat nedeni öncelikle değerlendirilmelidir.</w:t>
      </w:r>
    </w:p>
    <w:p>
      <w:pPr>
        <w:spacing w:after="64" w:line="245" w:lineRule="auto"/>
        <w:ind w:firstLine="317"/>
      </w:pPr>
      <w:r>
        <w:rPr>
          <w:b/>
        </w:rPr>
        <w:t xml:space="preserve">6. </w:t>
      </w:r>
      <w:r>
        <w:t>İddia makamının veya katılanın [tarih] tarihli esas hakkındaki görüşündeki aleyhe hususlar, [delil] ile karşılaştırılmıştır. Her bir aleyhe iddia bakımından cevap: [somut ve denetlenebilir karşılık]tır. Varsayılan bir mütalaa, görülmemiş belge veya söylenmemiş tanık anlatımı dilekçeye eklenmemelidir.</w:t>
      </w:r>
    </w:p>
    <w:p>
      <w:pPr>
        <w:spacing w:after="64" w:line="245" w:lineRule="auto"/>
        <w:ind w:firstLine="317"/>
      </w:pPr>
      <w:r>
        <w:rPr>
          <w:b/>
        </w:rPr>
        <w:t xml:space="preserve">7. </w:t>
      </w:r>
      <w:r>
        <w:t>Başvuru sanığın sorgudan vazgeçtiği, çağrıya uymamasının haklı olduğu veya kaçak sayıldığı anlamına gelmez. Sorgu yapılmamasına rağmen davayı bitirme, mahkemenin toplanmış deliller üzerinden yalnız kanunda izin verilen sonuçlardan birinin gerektiği kanısına ulaşmasına bağlı istisnai yetkidir.</w:t>
      </w:r>
    </w:p>
    <w:p>
      <w:pPr>
        <w:spacing w:after="64" w:line="245" w:lineRule="auto"/>
        <w:ind w:firstLine="317"/>
      </w:pPr>
      <w:r>
        <w:rPr>
          <w:b/>
        </w:rPr>
        <w:t xml:space="preserve">8. </w:t>
      </w:r>
      <w:r>
        <w:t>Mahkeme beraat veya düşme koşullarının oluşmadığı; mahkûmiyet, ceza verilmesine yer olmadığı ya da güvenlik tedbiri değerlendirmesinin gerektiği kanısındaysa CMK m.193/2 bu kararların sorgusuz ve yoklukta verilmesine dayanak oluşturmaz. Böyle bir durumda yargılama, sanığın hazır edilmesi ve sorgusunun yapılması dâhil ilgili usul hükümlerine göre sürdürülmelidir.</w:t>
      </w:r>
    </w:p>
    <w:p>
      <w:pPr>
        <w:spacing w:after="64" w:line="245" w:lineRule="auto"/>
        <w:ind w:firstLine="317"/>
      </w:pPr>
      <w:r>
        <w:rPr>
          <w:b/>
        </w:rPr>
        <w:t xml:space="preserve">9. </w:t>
      </w:r>
      <w:r>
        <w:t>Talebin kabulü hâlinde hükmün gerekçesi CMK m.230'a; hüküm fıkrası CMK m.232'ye uygun kurulmalıdır. Hangi delilin neden üstün tutulduğu, beraat veya düşme nedeninin somut olayla bağlantısı, yargılama giderleri ve varsa koruma tedbirlerinin akıbeti açıkça gösterilmelidir.</w:t>
      </w:r>
    </w:p>
    <w:p>
      <w:pPr>
        <w:spacing w:before="50"/>
      </w:pPr>
      <w:r>
        <w:rPr>
          <w:b/>
        </w:rPr>
        <w:t xml:space="preserve">HUKUKİ NEDENLER: </w:t>
      </w:r>
      <w:r>
        <w:t>5271 sayılı CMK m.193/1-2, 223/2, 223/8-9, 230, 232, 324-326; 7445 sayılı Kanun m.20 ve somut olaya uygulanabilen diğer hükümler.</w:t>
      </w:r>
    </w:p>
    <w:p>
      <w:r>
        <w:rPr>
          <w:b/>
        </w:rPr>
        <w:t xml:space="preserve">DELİLLER VE KAYITLAR: </w:t>
      </w:r>
      <w:r>
        <w:t>[İddianame ve kabul kararı], [tebligat/çağrı kayıtları], [celse tutanakları], [esas hakkındaki mütalaa], [beraat veya düşme sonucunu destekleyen her gerçek belge ve UYAP evrak numarası] ile yalnız dosyada mevcut diğer kayıtlar.</w:t>
      </w:r>
    </w:p>
    <w:p>
      <w:pPr>
        <w:spacing w:before="50" w:after="60"/>
      </w:pPr>
      <w:r>
        <w:rPr>
          <w:b/>
        </w:rPr>
        <w:t xml:space="preserve">SONUÇ VE İSTEM: </w:t>
      </w:r>
      <w:r>
        <w:t>Açıklanan nedenlerle; (1) [inceleme tarihi] itibarıyla toplanan delillerin CMK m.223/2-[uygun bent] uyarınca beraat / CMK m.223/8 uyarınca davanın düşmesi kararını gerektirdiğinin kabulüne, (2) CMK m.193/2 uyarınca sanığın sorgusu yapılmamış olsa da davanın sanığın yokluğunda bitirilmesine, (3) hükmün CMK m.230 ve 232'ye uygun gerekçeyle kurulmasına, (4) yargılama giderleri ile varsa koruma tedbirlerinin kanuna uygun akıbetinin gösterilmesine; mahkemeniz bu koşulların oluşmadığı kanısındaysa sorgusuz biçimde mahkûmiyet, ceza verilmesine yer olmadığı veya güvenlik tedbiri kararı verilmemesine ve yargılamanın ilgili usule göre sürdürülmesine karar verilmesini saygıyla talep ederim. [Tarih]</w:t>
      </w:r>
    </w:p>
    <w:p>
      <w:pPr>
        <w:jc w:val="right"/>
      </w:pPr>
      <w:r>
        <w:rPr>
          <w:b/>
        </w:rPr>
        <w:t>Sanık / müdafi</w:t>
        <w:br/>
      </w:r>
      <w:r>
        <w:t>[Ad-soyad ve imza]</w:t>
      </w:r>
    </w:p>
    <w:p>
      <w:pPr>
        <w:sectPr>
          <w:pgSz w:w="12240" w:h="15840"/>
          <w:pgMar w:top="662" w:right="950" w:bottom="662" w:left="950" w:header="720" w:footer="720" w:gutter="0"/>
          <w:cols w:space="720"/>
          <w:docGrid w:linePitch="360"/>
        </w:sectPr>
      </w:pPr>
    </w:p>
    <w:p>
      <w:pPr>
        <w:pStyle w:val="Heading1"/>
        <w:jc w:val="center"/>
      </w:pPr>
      <w:r>
        <w:t>Hüküm Türü ve Yoklukta Bitirme Kontrol Çizelgesi</w:t>
      </w:r>
    </w:p>
    <w:p>
      <w:r>
        <w:t>Aşağıdaki alanlar, güncel kanun metni ve gerçek dosya kayıtlarıyla doldurulmalıdır. Sonuç öngörüsü değil, mahkemenin değerlendirmesine sunulan denetlenebilir bir talep hazırlanmalıdır.</w:t>
      </w:r>
    </w:p>
    <w:tbl>
      <w:tblPr>
        <w:tblStyle w:val="TableGrid"/>
        <w:tblW w:type="auto" w:w="0"/>
        <w:tblLayout w:type="fixed"/>
        <w:tblLook w:firstColumn="1" w:firstRow="1" w:lastColumn="0" w:lastRow="0" w:noHBand="0" w:noVBand="1" w:val="04A0"/>
      </w:tblPr>
      <w:tblGrid>
        <w:gridCol w:w="3447"/>
        <w:gridCol w:w="3447"/>
        <w:gridCol w:w="3447"/>
      </w:tblGrid>
      <w:tr>
        <w:trPr>
          <w:tblHeader w:val="true"/>
        </w:trPr>
        <w:tc>
          <w:tcPr>
            <w:tcW w:type="dxa" w:w="2160"/>
            <w:vAlign w:val="center"/>
            <w:tcMar>
              <w:top w:w="70" w:type="dxa"/>
              <w:start w:w="80" w:type="dxa"/>
              <w:bottom w:w="70" w:type="dxa"/>
              <w:end w:w="80" w:type="dxa"/>
            </w:tcMar>
            <w:shd w:fill="1F4E78"/>
          </w:tcPr>
          <w:p>
            <w:pPr>
              <w:jc w:val="center"/>
            </w:pPr>
            <w:r>
              <w:rPr>
                <w:rFonts w:ascii="Times New Roman" w:hAnsi="Times New Roman"/>
                <w:b/>
                <w:color w:val="FFFFFF"/>
                <w:sz w:val="16"/>
              </w:rPr>
              <w:t>Kontrol</w:t>
            </w:r>
          </w:p>
        </w:tc>
        <w:tc>
          <w:tcPr>
            <w:tcW w:type="dxa" w:w="4968"/>
            <w:vAlign w:val="center"/>
            <w:tcMar>
              <w:top w:w="70" w:type="dxa"/>
              <w:start w:w="80" w:type="dxa"/>
              <w:bottom w:w="70" w:type="dxa"/>
              <w:end w:w="80" w:type="dxa"/>
            </w:tcMar>
            <w:shd w:fill="1F4E78"/>
          </w:tcPr>
          <w:p>
            <w:pPr>
              <w:jc w:val="center"/>
            </w:pPr>
            <w:r>
              <w:rPr>
                <w:rFonts w:ascii="Times New Roman" w:hAnsi="Times New Roman"/>
                <w:b/>
                <w:color w:val="FFFFFF"/>
                <w:sz w:val="16"/>
              </w:rPr>
              <w:t>Dosyaya Yazılacak Bilgi</w:t>
            </w:r>
          </w:p>
        </w:tc>
        <w:tc>
          <w:tcPr>
            <w:tcW w:type="dxa" w:w="2808"/>
            <w:vAlign w:val="center"/>
            <w:tcMar>
              <w:top w:w="70" w:type="dxa"/>
              <w:start w:w="80" w:type="dxa"/>
              <w:bottom w:w="70" w:type="dxa"/>
              <w:end w:w="80" w:type="dxa"/>
            </w:tcMar>
            <w:shd w:fill="1F4E78"/>
          </w:tcPr>
          <w:p>
            <w:pPr>
              <w:jc w:val="center"/>
            </w:pPr>
            <w:r>
              <w:rPr>
                <w:rFonts w:ascii="Times New Roman" w:hAnsi="Times New Roman"/>
                <w:b/>
                <w:color w:val="FFFFFF"/>
                <w:sz w:val="16"/>
              </w:rPr>
              <w:t>Hukukî Amaç</w:t>
            </w:r>
          </w:p>
        </w:tc>
      </w:tr>
      <w:tr>
        <w:tc>
          <w:tcPr>
            <w:tcW w:type="dxa" w:w="2160"/>
            <w:vAlign w:val="center"/>
            <w:tcMar>
              <w:top w:w="70" w:type="dxa"/>
              <w:start w:w="80" w:type="dxa"/>
              <w:bottom w:w="70" w:type="dxa"/>
              <w:end w:w="80" w:type="dxa"/>
            </w:tcMar>
          </w:tcPr>
          <w:p>
            <w:pPr>
              <w:spacing w:after="0" w:line="240" w:lineRule="auto"/>
            </w:pPr>
            <w:r>
              <w:rPr>
                <w:rFonts w:ascii="Times New Roman" w:hAnsi="Times New Roman"/>
                <w:sz w:val="15"/>
              </w:rPr>
              <w:t>Sorgu durumu</w:t>
            </w:r>
          </w:p>
        </w:tc>
        <w:tc>
          <w:tcPr>
            <w:tcW w:type="dxa" w:w="4968"/>
            <w:vAlign w:val="center"/>
            <w:tcMar>
              <w:top w:w="70" w:type="dxa"/>
              <w:start w:w="80" w:type="dxa"/>
              <w:bottom w:w="70" w:type="dxa"/>
              <w:end w:w="80" w:type="dxa"/>
            </w:tcMar>
          </w:tcPr>
          <w:p>
            <w:pPr>
              <w:spacing w:after="0" w:line="240" w:lineRule="auto"/>
            </w:pPr>
            <w:r>
              <w:rPr>
                <w:rFonts w:ascii="Times New Roman" w:hAnsi="Times New Roman"/>
                <w:sz w:val="15"/>
              </w:rPr>
              <w:t>[Yapılmadı / kısmen yapıldı; tutanak tarihi]</w:t>
            </w:r>
          </w:p>
        </w:tc>
        <w:tc>
          <w:tcPr>
            <w:tcW w:type="dxa" w:w="2808"/>
            <w:vAlign w:val="center"/>
            <w:tcMar>
              <w:top w:w="70" w:type="dxa"/>
              <w:start w:w="80" w:type="dxa"/>
              <w:bottom w:w="70" w:type="dxa"/>
              <w:end w:w="80" w:type="dxa"/>
            </w:tcMar>
          </w:tcPr>
          <w:p>
            <w:pPr>
              <w:spacing w:after="0" w:line="240" w:lineRule="auto"/>
            </w:pPr>
            <w:r>
              <w:rPr>
                <w:rFonts w:ascii="Times New Roman" w:hAnsi="Times New Roman"/>
                <w:sz w:val="15"/>
              </w:rPr>
              <w:t>CMK 193/2 eşiği</w:t>
            </w:r>
          </w:p>
        </w:tc>
      </w:tr>
      <w:tr>
        <w:tc>
          <w:tcPr>
            <w:tcW w:type="dxa" w:w="2160"/>
            <w:vAlign w:val="center"/>
            <w:tcMar>
              <w:top w:w="70" w:type="dxa"/>
              <w:start w:w="80" w:type="dxa"/>
              <w:bottom w:w="70" w:type="dxa"/>
              <w:end w:w="80" w:type="dxa"/>
            </w:tcMar>
            <w:shd w:fill="EAF2F8"/>
          </w:tcPr>
          <w:p>
            <w:pPr>
              <w:spacing w:after="0" w:line="240" w:lineRule="auto"/>
            </w:pPr>
            <w:r>
              <w:rPr>
                <w:rFonts w:ascii="Times New Roman" w:hAnsi="Times New Roman"/>
                <w:sz w:val="15"/>
              </w:rPr>
              <w:t>Hazır bulunma</w:t>
            </w:r>
          </w:p>
        </w:tc>
        <w:tc>
          <w:tcPr>
            <w:tcW w:type="dxa" w:w="4968"/>
            <w:vAlign w:val="center"/>
            <w:tcMar>
              <w:top w:w="70" w:type="dxa"/>
              <w:start w:w="80" w:type="dxa"/>
              <w:bottom w:w="70" w:type="dxa"/>
              <w:end w:w="80" w:type="dxa"/>
            </w:tcMar>
            <w:shd w:fill="EAF2F8"/>
          </w:tcPr>
          <w:p>
            <w:pPr>
              <w:spacing w:after="0" w:line="240" w:lineRule="auto"/>
            </w:pPr>
            <w:r>
              <w:rPr>
                <w:rFonts w:ascii="Times New Roman" w:hAnsi="Times New Roman"/>
                <w:sz w:val="15"/>
              </w:rPr>
              <w:t>[Celse ve yokluk kaydı]</w:t>
            </w:r>
          </w:p>
        </w:tc>
        <w:tc>
          <w:tcPr>
            <w:tcW w:type="dxa" w:w="2808"/>
            <w:vAlign w:val="center"/>
            <w:tcMar>
              <w:top w:w="70" w:type="dxa"/>
              <w:start w:w="80" w:type="dxa"/>
              <w:bottom w:w="70" w:type="dxa"/>
              <w:end w:w="80" w:type="dxa"/>
            </w:tcMar>
            <w:shd w:fill="EAF2F8"/>
          </w:tcPr>
          <w:p>
            <w:pPr>
              <w:spacing w:after="0" w:line="240" w:lineRule="auto"/>
            </w:pPr>
            <w:r>
              <w:rPr>
                <w:rFonts w:ascii="Times New Roman" w:hAnsi="Times New Roman"/>
                <w:sz w:val="15"/>
              </w:rPr>
              <w:t>Usulî durum</w:t>
            </w:r>
          </w:p>
        </w:tc>
      </w:tr>
      <w:tr>
        <w:tc>
          <w:tcPr>
            <w:tcW w:type="dxa" w:w="2160"/>
            <w:vAlign w:val="center"/>
            <w:tcMar>
              <w:top w:w="70" w:type="dxa"/>
              <w:start w:w="80" w:type="dxa"/>
              <w:bottom w:w="70" w:type="dxa"/>
              <w:end w:w="80" w:type="dxa"/>
            </w:tcMar>
          </w:tcPr>
          <w:p>
            <w:pPr>
              <w:spacing w:after="0" w:line="240" w:lineRule="auto"/>
            </w:pPr>
            <w:r>
              <w:rPr>
                <w:rFonts w:ascii="Times New Roman" w:hAnsi="Times New Roman"/>
                <w:sz w:val="15"/>
              </w:rPr>
              <w:t>Deliller toplandı mı?</w:t>
            </w:r>
          </w:p>
        </w:tc>
        <w:tc>
          <w:tcPr>
            <w:tcW w:type="dxa" w:w="4968"/>
            <w:vAlign w:val="center"/>
            <w:tcMar>
              <w:top w:w="70" w:type="dxa"/>
              <w:start w:w="80" w:type="dxa"/>
              <w:bottom w:w="70" w:type="dxa"/>
              <w:end w:w="80" w:type="dxa"/>
            </w:tcMar>
          </w:tcPr>
          <w:p>
            <w:pPr>
              <w:spacing w:after="0" w:line="240" w:lineRule="auto"/>
            </w:pPr>
            <w:r>
              <w:rPr>
                <w:rFonts w:ascii="Times New Roman" w:hAnsi="Times New Roman"/>
                <w:sz w:val="15"/>
              </w:rPr>
              <w:t>[Tamamlanan / beklenen işlemler]</w:t>
            </w:r>
          </w:p>
        </w:tc>
        <w:tc>
          <w:tcPr>
            <w:tcW w:type="dxa" w:w="2808"/>
            <w:vAlign w:val="center"/>
            <w:tcMar>
              <w:top w:w="70" w:type="dxa"/>
              <w:start w:w="80" w:type="dxa"/>
              <w:bottom w:w="70" w:type="dxa"/>
              <w:end w:w="80" w:type="dxa"/>
            </w:tcMar>
          </w:tcPr>
          <w:p>
            <w:pPr>
              <w:spacing w:after="0" w:line="240" w:lineRule="auto"/>
            </w:pPr>
            <w:r>
              <w:rPr>
                <w:rFonts w:ascii="Times New Roman" w:hAnsi="Times New Roman"/>
                <w:sz w:val="15"/>
              </w:rPr>
              <w:t>Karara elverişlilik</w:t>
            </w:r>
          </w:p>
        </w:tc>
      </w:tr>
      <w:tr>
        <w:tc>
          <w:tcPr>
            <w:tcW w:type="dxa" w:w="2160"/>
            <w:vAlign w:val="center"/>
            <w:tcMar>
              <w:top w:w="70" w:type="dxa"/>
              <w:start w:w="80" w:type="dxa"/>
              <w:bottom w:w="70" w:type="dxa"/>
              <w:end w:w="80" w:type="dxa"/>
            </w:tcMar>
            <w:shd w:fill="EAF2F8"/>
          </w:tcPr>
          <w:p>
            <w:pPr>
              <w:spacing w:after="0" w:line="240" w:lineRule="auto"/>
            </w:pPr>
            <w:r>
              <w:rPr>
                <w:rFonts w:ascii="Times New Roman" w:hAnsi="Times New Roman"/>
                <w:sz w:val="15"/>
              </w:rPr>
              <w:t>Beraat bendi</w:t>
            </w:r>
          </w:p>
        </w:tc>
        <w:tc>
          <w:tcPr>
            <w:tcW w:type="dxa" w:w="4968"/>
            <w:vAlign w:val="center"/>
            <w:tcMar>
              <w:top w:w="70" w:type="dxa"/>
              <w:start w:w="80" w:type="dxa"/>
              <w:bottom w:w="70" w:type="dxa"/>
              <w:end w:w="80" w:type="dxa"/>
            </w:tcMar>
            <w:shd w:fill="EAF2F8"/>
          </w:tcPr>
          <w:p>
            <w:pPr>
              <w:spacing w:after="0" w:line="240" w:lineRule="auto"/>
            </w:pPr>
            <w:r>
              <w:rPr>
                <w:rFonts w:ascii="Times New Roman" w:hAnsi="Times New Roman"/>
                <w:sz w:val="15"/>
              </w:rPr>
              <w:t>[CMK 223/2 a-b-c-d-e]</w:t>
            </w:r>
          </w:p>
        </w:tc>
        <w:tc>
          <w:tcPr>
            <w:tcW w:type="dxa" w:w="2808"/>
            <w:vAlign w:val="center"/>
            <w:tcMar>
              <w:top w:w="70" w:type="dxa"/>
              <w:start w:w="80" w:type="dxa"/>
              <w:bottom w:w="70" w:type="dxa"/>
              <w:end w:w="80" w:type="dxa"/>
            </w:tcMar>
            <w:shd w:fill="EAF2F8"/>
          </w:tcPr>
          <w:p>
            <w:pPr>
              <w:spacing w:after="0" w:line="240" w:lineRule="auto"/>
            </w:pPr>
            <w:r>
              <w:rPr>
                <w:rFonts w:ascii="Times New Roman" w:hAnsi="Times New Roman"/>
                <w:sz w:val="15"/>
              </w:rPr>
              <w:t>Tek ve uygun gerekçe</w:t>
            </w:r>
          </w:p>
        </w:tc>
      </w:tr>
      <w:tr>
        <w:tc>
          <w:tcPr>
            <w:tcW w:type="dxa" w:w="2160"/>
            <w:vAlign w:val="center"/>
            <w:tcMar>
              <w:top w:w="70" w:type="dxa"/>
              <w:start w:w="80" w:type="dxa"/>
              <w:bottom w:w="70" w:type="dxa"/>
              <w:end w:w="80" w:type="dxa"/>
            </w:tcMar>
          </w:tcPr>
          <w:p>
            <w:pPr>
              <w:spacing w:after="0" w:line="240" w:lineRule="auto"/>
            </w:pPr>
            <w:r>
              <w:rPr>
                <w:rFonts w:ascii="Times New Roman" w:hAnsi="Times New Roman"/>
                <w:sz w:val="15"/>
              </w:rPr>
              <w:t>Düşme nedeni</w:t>
            </w:r>
          </w:p>
        </w:tc>
        <w:tc>
          <w:tcPr>
            <w:tcW w:type="dxa" w:w="4968"/>
            <w:vAlign w:val="center"/>
            <w:tcMar>
              <w:top w:w="70" w:type="dxa"/>
              <w:start w:w="80" w:type="dxa"/>
              <w:bottom w:w="70" w:type="dxa"/>
              <w:end w:w="80" w:type="dxa"/>
            </w:tcMar>
          </w:tcPr>
          <w:p>
            <w:pPr>
              <w:spacing w:after="0" w:line="240" w:lineRule="auto"/>
            </w:pPr>
            <w:r>
              <w:rPr>
                <w:rFonts w:ascii="Times New Roman" w:hAnsi="Times New Roman"/>
                <w:sz w:val="15"/>
              </w:rPr>
              <w:t>[CMK 223/8; özel hüküm]</w:t>
            </w:r>
          </w:p>
        </w:tc>
        <w:tc>
          <w:tcPr>
            <w:tcW w:type="dxa" w:w="2808"/>
            <w:vAlign w:val="center"/>
            <w:tcMar>
              <w:top w:w="70" w:type="dxa"/>
              <w:start w:w="80" w:type="dxa"/>
              <w:bottom w:w="70" w:type="dxa"/>
              <w:end w:w="80" w:type="dxa"/>
            </w:tcMar>
          </w:tcPr>
          <w:p>
            <w:pPr>
              <w:spacing w:after="0" w:line="240" w:lineRule="auto"/>
            </w:pPr>
            <w:r>
              <w:rPr>
                <w:rFonts w:ascii="Times New Roman" w:hAnsi="Times New Roman"/>
                <w:sz w:val="15"/>
              </w:rPr>
              <w:t>Gerçek hukukî neden</w:t>
            </w:r>
          </w:p>
        </w:tc>
      </w:tr>
      <w:tr>
        <w:tc>
          <w:tcPr>
            <w:tcW w:type="dxa" w:w="2160"/>
            <w:vAlign w:val="center"/>
            <w:tcMar>
              <w:top w:w="70" w:type="dxa"/>
              <w:start w:w="80" w:type="dxa"/>
              <w:bottom w:w="70" w:type="dxa"/>
              <w:end w:w="80" w:type="dxa"/>
            </w:tcMar>
            <w:shd w:fill="EAF2F8"/>
          </w:tcPr>
          <w:p>
            <w:pPr>
              <w:spacing w:after="0" w:line="240" w:lineRule="auto"/>
            </w:pPr>
            <w:r>
              <w:rPr>
                <w:rFonts w:ascii="Times New Roman" w:hAnsi="Times New Roman"/>
                <w:sz w:val="15"/>
              </w:rPr>
              <w:t>Derhâl beraat</w:t>
            </w:r>
          </w:p>
        </w:tc>
        <w:tc>
          <w:tcPr>
            <w:tcW w:type="dxa" w:w="4968"/>
            <w:vAlign w:val="center"/>
            <w:tcMar>
              <w:top w:w="70" w:type="dxa"/>
              <w:start w:w="80" w:type="dxa"/>
              <w:bottom w:w="70" w:type="dxa"/>
              <w:end w:w="80" w:type="dxa"/>
            </w:tcMar>
            <w:shd w:fill="EAF2F8"/>
          </w:tcPr>
          <w:p>
            <w:pPr>
              <w:spacing w:after="0" w:line="240" w:lineRule="auto"/>
            </w:pPr>
            <w:r>
              <w:rPr>
                <w:rFonts w:ascii="Times New Roman" w:hAnsi="Times New Roman"/>
                <w:sz w:val="15"/>
              </w:rPr>
              <w:t>[CMK 223/9 değerlendirmesi]</w:t>
            </w:r>
          </w:p>
        </w:tc>
        <w:tc>
          <w:tcPr>
            <w:tcW w:type="dxa" w:w="2808"/>
            <w:vAlign w:val="center"/>
            <w:tcMar>
              <w:top w:w="70" w:type="dxa"/>
              <w:start w:w="80" w:type="dxa"/>
              <w:bottom w:w="70" w:type="dxa"/>
              <w:end w:w="80" w:type="dxa"/>
            </w:tcMar>
            <w:shd w:fill="EAF2F8"/>
          </w:tcPr>
          <w:p>
            <w:pPr>
              <w:spacing w:after="0" w:line="240" w:lineRule="auto"/>
            </w:pPr>
            <w:r>
              <w:rPr>
                <w:rFonts w:ascii="Times New Roman" w:hAnsi="Times New Roman"/>
                <w:sz w:val="15"/>
              </w:rPr>
              <w:t>Öncelik kontrolü</w:t>
            </w:r>
          </w:p>
        </w:tc>
      </w:tr>
      <w:tr>
        <w:tc>
          <w:tcPr>
            <w:tcW w:type="dxa" w:w="2160"/>
            <w:vAlign w:val="center"/>
            <w:tcMar>
              <w:top w:w="70" w:type="dxa"/>
              <w:start w:w="80" w:type="dxa"/>
              <w:bottom w:w="70" w:type="dxa"/>
              <w:end w:w="80" w:type="dxa"/>
            </w:tcMar>
          </w:tcPr>
          <w:p>
            <w:pPr>
              <w:spacing w:after="0" w:line="240" w:lineRule="auto"/>
            </w:pPr>
            <w:r>
              <w:rPr>
                <w:rFonts w:ascii="Times New Roman" w:hAnsi="Times New Roman"/>
                <w:sz w:val="15"/>
              </w:rPr>
              <w:t>Yasak sonuçlar</w:t>
            </w:r>
          </w:p>
        </w:tc>
        <w:tc>
          <w:tcPr>
            <w:tcW w:type="dxa" w:w="4968"/>
            <w:vAlign w:val="center"/>
            <w:tcMar>
              <w:top w:w="70" w:type="dxa"/>
              <w:start w:w="80" w:type="dxa"/>
              <w:bottom w:w="70" w:type="dxa"/>
              <w:end w:w="80" w:type="dxa"/>
            </w:tcMar>
          </w:tcPr>
          <w:p>
            <w:pPr>
              <w:spacing w:after="0" w:line="240" w:lineRule="auto"/>
            </w:pPr>
            <w:r>
              <w:rPr>
                <w:rFonts w:ascii="Times New Roman" w:hAnsi="Times New Roman"/>
                <w:sz w:val="15"/>
              </w:rPr>
              <w:t>[Mahkûmiyet / CVYO / güvenlik tedbiri]</w:t>
            </w:r>
          </w:p>
        </w:tc>
        <w:tc>
          <w:tcPr>
            <w:tcW w:type="dxa" w:w="2808"/>
            <w:vAlign w:val="center"/>
            <w:tcMar>
              <w:top w:w="70" w:type="dxa"/>
              <w:start w:w="80" w:type="dxa"/>
              <w:bottom w:w="70" w:type="dxa"/>
              <w:end w:w="80" w:type="dxa"/>
            </w:tcMar>
          </w:tcPr>
          <w:p>
            <w:pPr>
              <w:spacing w:after="0" w:line="240" w:lineRule="auto"/>
            </w:pPr>
            <w:r>
              <w:rPr>
                <w:rFonts w:ascii="Times New Roman" w:hAnsi="Times New Roman"/>
                <w:sz w:val="15"/>
              </w:rPr>
              <w:t>193/2 ile kurulamaz</w:t>
            </w:r>
          </w:p>
        </w:tc>
      </w:tr>
      <w:tr>
        <w:tc>
          <w:tcPr>
            <w:tcW w:type="dxa" w:w="2160"/>
            <w:vAlign w:val="center"/>
            <w:tcMar>
              <w:top w:w="70" w:type="dxa"/>
              <w:start w:w="80" w:type="dxa"/>
              <w:bottom w:w="70" w:type="dxa"/>
              <w:end w:w="80" w:type="dxa"/>
            </w:tcMar>
            <w:shd w:fill="EAF2F8"/>
          </w:tcPr>
          <w:p>
            <w:pPr>
              <w:spacing w:after="0" w:line="240" w:lineRule="auto"/>
            </w:pPr>
            <w:r>
              <w:rPr>
                <w:rFonts w:ascii="Times New Roman" w:hAnsi="Times New Roman"/>
                <w:sz w:val="15"/>
              </w:rPr>
              <w:t>Aleyhe delil</w:t>
            </w:r>
          </w:p>
        </w:tc>
        <w:tc>
          <w:tcPr>
            <w:tcW w:type="dxa" w:w="4968"/>
            <w:vAlign w:val="center"/>
            <w:tcMar>
              <w:top w:w="70" w:type="dxa"/>
              <w:start w:w="80" w:type="dxa"/>
              <w:bottom w:w="70" w:type="dxa"/>
              <w:end w:w="80" w:type="dxa"/>
            </w:tcMar>
            <w:shd w:fill="EAF2F8"/>
          </w:tcPr>
          <w:p>
            <w:pPr>
              <w:spacing w:after="0" w:line="240" w:lineRule="auto"/>
            </w:pPr>
            <w:r>
              <w:rPr>
                <w:rFonts w:ascii="Times New Roman" w:hAnsi="Times New Roman"/>
                <w:sz w:val="15"/>
              </w:rPr>
              <w:t>[Belge ve somut cevap]</w:t>
            </w:r>
          </w:p>
        </w:tc>
        <w:tc>
          <w:tcPr>
            <w:tcW w:type="dxa" w:w="2808"/>
            <w:vAlign w:val="center"/>
            <w:tcMar>
              <w:top w:w="70" w:type="dxa"/>
              <w:start w:w="80" w:type="dxa"/>
              <w:bottom w:w="70" w:type="dxa"/>
              <w:end w:w="80" w:type="dxa"/>
            </w:tcMar>
            <w:shd w:fill="EAF2F8"/>
          </w:tcPr>
          <w:p>
            <w:pPr>
              <w:spacing w:after="0" w:line="240" w:lineRule="auto"/>
            </w:pPr>
            <w:r>
              <w:rPr>
                <w:rFonts w:ascii="Times New Roman" w:hAnsi="Times New Roman"/>
                <w:sz w:val="15"/>
              </w:rPr>
              <w:t>Çelişme denetimi</w:t>
            </w:r>
          </w:p>
        </w:tc>
      </w:tr>
      <w:tr>
        <w:tc>
          <w:tcPr>
            <w:tcW w:type="dxa" w:w="2160"/>
            <w:vAlign w:val="center"/>
            <w:tcMar>
              <w:top w:w="70" w:type="dxa"/>
              <w:start w:w="80" w:type="dxa"/>
              <w:bottom w:w="70" w:type="dxa"/>
              <w:end w:w="80" w:type="dxa"/>
            </w:tcMar>
          </w:tcPr>
          <w:p>
            <w:pPr>
              <w:spacing w:after="0" w:line="240" w:lineRule="auto"/>
            </w:pPr>
            <w:r>
              <w:rPr>
                <w:rFonts w:ascii="Times New Roman" w:hAnsi="Times New Roman"/>
                <w:sz w:val="15"/>
              </w:rPr>
              <w:t>Gerekçe</w:t>
            </w:r>
          </w:p>
        </w:tc>
        <w:tc>
          <w:tcPr>
            <w:tcW w:type="dxa" w:w="4968"/>
            <w:vAlign w:val="center"/>
            <w:tcMar>
              <w:top w:w="70" w:type="dxa"/>
              <w:start w:w="80" w:type="dxa"/>
              <w:bottom w:w="70" w:type="dxa"/>
              <w:end w:w="80" w:type="dxa"/>
            </w:tcMar>
          </w:tcPr>
          <w:p>
            <w:pPr>
              <w:spacing w:after="0" w:line="240" w:lineRule="auto"/>
            </w:pPr>
            <w:r>
              <w:rPr>
                <w:rFonts w:ascii="Times New Roman" w:hAnsi="Times New Roman"/>
                <w:sz w:val="15"/>
              </w:rPr>
              <w:t>[Delil-sonuç bağlantısı]</w:t>
            </w:r>
          </w:p>
        </w:tc>
        <w:tc>
          <w:tcPr>
            <w:tcW w:type="dxa" w:w="2808"/>
            <w:vAlign w:val="center"/>
            <w:tcMar>
              <w:top w:w="70" w:type="dxa"/>
              <w:start w:w="80" w:type="dxa"/>
              <w:bottom w:w="70" w:type="dxa"/>
              <w:end w:w="80" w:type="dxa"/>
            </w:tcMar>
          </w:tcPr>
          <w:p>
            <w:pPr>
              <w:spacing w:after="0" w:line="240" w:lineRule="auto"/>
            </w:pPr>
            <w:r>
              <w:rPr>
                <w:rFonts w:ascii="Times New Roman" w:hAnsi="Times New Roman"/>
                <w:sz w:val="15"/>
              </w:rPr>
              <w:t>CMK 230</w:t>
            </w:r>
          </w:p>
        </w:tc>
      </w:tr>
      <w:tr>
        <w:tc>
          <w:tcPr>
            <w:tcW w:type="dxa" w:w="2160"/>
            <w:vAlign w:val="center"/>
            <w:tcMar>
              <w:top w:w="70" w:type="dxa"/>
              <w:start w:w="80" w:type="dxa"/>
              <w:bottom w:w="70" w:type="dxa"/>
              <w:end w:w="80" w:type="dxa"/>
            </w:tcMar>
            <w:shd w:fill="EAF2F8"/>
          </w:tcPr>
          <w:p>
            <w:pPr>
              <w:spacing w:after="0" w:line="240" w:lineRule="auto"/>
            </w:pPr>
            <w:r>
              <w:rPr>
                <w:rFonts w:ascii="Times New Roman" w:hAnsi="Times New Roman"/>
                <w:sz w:val="15"/>
              </w:rPr>
              <w:t>Hüküm fıkrası</w:t>
            </w:r>
          </w:p>
        </w:tc>
        <w:tc>
          <w:tcPr>
            <w:tcW w:type="dxa" w:w="4968"/>
            <w:vAlign w:val="center"/>
            <w:tcMar>
              <w:top w:w="70" w:type="dxa"/>
              <w:start w:w="80" w:type="dxa"/>
              <w:bottom w:w="70" w:type="dxa"/>
              <w:end w:w="80" w:type="dxa"/>
            </w:tcMar>
            <w:shd w:fill="EAF2F8"/>
          </w:tcPr>
          <w:p>
            <w:pPr>
              <w:spacing w:after="0" w:line="240" w:lineRule="auto"/>
            </w:pPr>
            <w:r>
              <w:rPr>
                <w:rFonts w:ascii="Times New Roman" w:hAnsi="Times New Roman"/>
                <w:sz w:val="15"/>
              </w:rPr>
              <w:t>[Sonuç, gider, tedbir, kanun yolu]</w:t>
            </w:r>
          </w:p>
        </w:tc>
        <w:tc>
          <w:tcPr>
            <w:tcW w:type="dxa" w:w="2808"/>
            <w:vAlign w:val="center"/>
            <w:tcMar>
              <w:top w:w="70" w:type="dxa"/>
              <w:start w:w="80" w:type="dxa"/>
              <w:bottom w:w="70" w:type="dxa"/>
              <w:end w:w="80" w:type="dxa"/>
            </w:tcMar>
            <w:shd w:fill="EAF2F8"/>
          </w:tcPr>
          <w:p>
            <w:pPr>
              <w:spacing w:after="0" w:line="240" w:lineRule="auto"/>
            </w:pPr>
            <w:r>
              <w:rPr>
                <w:rFonts w:ascii="Times New Roman" w:hAnsi="Times New Roman"/>
                <w:sz w:val="15"/>
              </w:rPr>
              <w:t>CMK 232</w:t>
            </w:r>
          </w:p>
        </w:tc>
      </w:tr>
    </w:tbl>
    <w:p>
      <w:pPr>
        <w:pStyle w:val="Heading1"/>
      </w:pPr>
      <w:r>
        <w:t>Sunum Öncesi Kontrol</w:t>
      </w:r>
    </w:p>
    <w:p>
      <w:pPr>
        <w:spacing w:after="28"/>
        <w:ind w:left="259" w:hanging="259"/>
      </w:pPr>
      <w:r>
        <w:t xml:space="preserve">☐ </w:t>
      </w:r>
      <w:r>
        <w:t>Güncel CMK 193/2 metni kullanıldı; 7445 öncesindeki geniş lafız tekrarlanmadı.</w:t>
      </w:r>
    </w:p>
    <w:p>
      <w:pPr>
        <w:spacing w:after="28"/>
        <w:ind w:left="259" w:hanging="259"/>
      </w:pPr>
      <w:r>
        <w:t xml:space="preserve">☐ </w:t>
      </w:r>
      <w:r>
        <w:t>Sanığın sorgusunun yapılmadığı ve hangi celsede hazır olmadığı gerçek tutanakla gösterildi.</w:t>
      </w:r>
    </w:p>
    <w:p>
      <w:pPr>
        <w:spacing w:after="28"/>
        <w:ind w:left="259" w:hanging="259"/>
      </w:pPr>
      <w:r>
        <w:t xml:space="preserve">☐ </w:t>
      </w:r>
      <w:r>
        <w:t>Toplanan delillerin karara elverişli olduğu, bekleyen işlem varsa ayrıca açıklandı.</w:t>
      </w:r>
    </w:p>
    <w:p>
      <w:pPr>
        <w:spacing w:after="28"/>
        <w:ind w:left="259" w:hanging="259"/>
      </w:pPr>
      <w:r>
        <w:t xml:space="preserve">☐ </w:t>
      </w:r>
      <w:r>
        <w:t>Beraat isteniyorsa CMK 223/2'nin uygun bendi somut delille eşleştirildi.</w:t>
      </w:r>
    </w:p>
    <w:p>
      <w:pPr>
        <w:spacing w:after="28"/>
        <w:ind w:left="259" w:hanging="259"/>
      </w:pPr>
      <w:r>
        <w:t xml:space="preserve">☐ </w:t>
      </w:r>
      <w:r>
        <w:t>Düşme isteniyorsa gerçek düşme nedeni ve CMK 223/9 önceliği kontrol edildi.</w:t>
      </w:r>
    </w:p>
    <w:p>
      <w:pPr>
        <w:spacing w:after="28"/>
        <w:ind w:left="259" w:hanging="259"/>
      </w:pPr>
      <w:r>
        <w:t xml:space="preserve">☐ </w:t>
      </w:r>
      <w:r>
        <w:t>Mahkûmiyet, ceza verilmesine yer olmadığı ve güvenlik tedbirinin 193/2 kapsamında istenmediği açıklandı.</w:t>
      </w:r>
    </w:p>
    <w:p>
      <w:pPr>
        <w:spacing w:after="28"/>
        <w:ind w:left="259" w:hanging="259"/>
      </w:pPr>
      <w:r>
        <w:t xml:space="preserve">☐ </w:t>
      </w:r>
      <w:r>
        <w:t>Başvuru sanığın sorgudan vazgeçmesi, mazeretinin kabulü veya kaçaklık tespiti olarak sunulmadı.</w:t>
      </w:r>
    </w:p>
    <w:p>
      <w:pPr>
        <w:spacing w:after="28"/>
        <w:ind w:left="259" w:hanging="259"/>
      </w:pPr>
      <w:r>
        <w:t xml:space="preserve">☐ </w:t>
      </w:r>
      <w:r>
        <w:t>Aleyhe mütalaa ve deliller görülerek ayrı ayrı cevaplandı; varsayımsal kayıt yazılmadı.</w:t>
      </w:r>
    </w:p>
    <w:p>
      <w:pPr>
        <w:spacing w:after="28"/>
        <w:ind w:left="259" w:hanging="259"/>
      </w:pPr>
      <w:r>
        <w:t xml:space="preserve">☐ </w:t>
      </w:r>
      <w:r>
        <w:t>Gerekçe, hüküm fıkrası, giderler ve mevcut koruma tedbirlerinin akıbeti istendi.</w:t>
      </w:r>
    </w:p>
    <w:p>
      <w:pPr>
        <w:spacing w:after="28"/>
        <w:ind w:left="259" w:hanging="259"/>
      </w:pPr>
      <w:r>
        <w:t xml:space="preserve">☐ </w:t>
      </w:r>
      <w:r>
        <w:t>Köşeli alanlar gerçek dosyaya göre dolduruldu; uygun olmayan seçenekler nüshadan çıkarıldı.</w:t>
      </w:r>
    </w:p>
    <w:p>
      <w:pPr>
        <w:spacing w:before="90"/>
      </w:pPr>
      <w:r>
        <w:rPr>
          <w:b/>
        </w:rPr>
        <w:t xml:space="preserve">Kullanım notu: </w:t>
      </w:r>
      <w:r>
        <w:t>Bu belge düzenlenebilir örnektir. İsnat, delil durumu, beraat bendi veya düşme nedeni, sanığın usulî durumu, yargılama giderleri ve kanun yolu somut dosya incelenerek uyarlanmalıdır.</w:t>
      </w:r>
    </w:p>
    <w:sectPr w:rsidR="00FC693F" w:rsidRPr="0006063C" w:rsidSect="00034616">
      <w:pgSz w:w="12240" w:h="15840"/>
      <w:pgMar w:top="662" w:right="950" w:bottom="662" w:left="9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6" w:line="240" w:lineRule="auto"/>
    </w:pPr>
    <w:rPr>
      <w:rFonts w:ascii="Times New Roman" w:hAnsi="Times New Roman" w:eastAsia="Times New Roman"/>
      <w:color w:val="000000"/>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90" w:after="44"/>
      <w:outlineLvl w:val="0"/>
    </w:pPr>
    <w:rPr>
      <w:rFonts w:asciiTheme="majorHAnsi" w:eastAsiaTheme="majorEastAsia" w:hAnsiTheme="majorHAnsi" w:cstheme="majorBidi" w:ascii="Times New Roman" w:hAnsi="Times New Roman" w:eastAsia="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Times New Roman"/>
      <w:b/>
      <w:bCs/>
      <w:color w:val="000000"/>
      <w:sz w:val="19"/>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eastAsia="Times New Roman"/>
      <w:b/>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CMK 193/2 Sanığın Yokluğunda Beraat veya Düşme Talebi</dc:title>
  <dc:subject>Düzenlenebilir ceza yargılaması dilekçe örneği</dc:subject>
  <dc:creator>Av. Halil Bakırcı</dc:creator>
  <cp:keywords/>
  <dc:description>generated by python-docx</dc:description>
  <cp:lastModifiedBy/>
  <cp:revision>1</cp:revision>
  <dcterms:created xsi:type="dcterms:W3CDTF">2013-12-23T23:15:00Z</dcterms:created>
  <dcterms:modified xsi:type="dcterms:W3CDTF">2013-12-23T23:15:00Z</dcterms:modified>
  <cp:category/>
</cp:coreProperties>
</file>