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194 2 Yoklukta Devam Koşullarının İncelenmesi Talebi</w:t>
      </w:r>
    </w:p>
    <w:p>
      <w:pPr>
        <w:spacing w:after="90"/>
        <w:jc w:val="center"/>
      </w:pPr>
      <w:r>
        <w:rPr>
          <w:b/>
          <w:sz w:val="20"/>
        </w:rPr>
        <w:t>[İLGİLİ ASLİYE CEZA MAHKEMESİNE / AĞIR CEZA MAHKEMESİ BAŞKANLIĞINA]</w:t>
      </w:r>
    </w:p>
    <w:p>
      <w:pPr>
        <w:spacing w:after="28"/>
      </w:pPr>
      <w:r>
        <w:rPr>
          <w:b/>
        </w:rPr>
        <w:t xml:space="preserve">ESAS NO: </w:t>
      </w:r>
      <w:r>
        <w:t>[Gerçek esas numarası]</w:t>
      </w:r>
    </w:p>
    <w:p>
      <w:pPr>
        <w:spacing w:after="28"/>
      </w:pPr>
      <w:r>
        <w:rPr>
          <w:b/>
        </w:rPr>
        <w:t xml:space="preserve">SANIK: </w:t>
      </w:r>
      <w:r>
        <w:t>[Ad soyad ve güvenli tebligat adresi]</w:t>
      </w:r>
    </w:p>
    <w:p>
      <w:pPr>
        <w:spacing w:after="28"/>
      </w:pPr>
      <w:r>
        <w:rPr>
          <w:b/>
        </w:rPr>
        <w:t xml:space="preserve">MÜDAFİ: </w:t>
      </w:r>
      <w:r>
        <w:t>[Varsa avukat adı, baro ve sicil numarası, adres]</w:t>
      </w:r>
    </w:p>
    <w:p>
      <w:pPr>
        <w:spacing w:before="40" w:after="70"/>
      </w:pPr>
      <w:r>
        <w:rPr>
          <w:b/>
        </w:rPr>
        <w:t xml:space="preserve">KONU: </w:t>
      </w:r>
      <w:r>
        <w:t>[Celse tarihi] tarihli oturumda oluştuğu bildirilen yokluk bakımından CMK m.194/2 koşullarının somut kayıtlarla incelenmesi; koşullar yoksa davanın sanığın yokluğunda bitirilmemesi, aksi kanaatte koşulların gerekçeli ara karar ve tutanakta ayrı ayrı gösterilmesi talebidir.</w:t>
      </w:r>
    </w:p>
    <w:p>
      <w:pPr>
        <w:pStyle w:val="Heading1"/>
      </w:pPr>
      <w:r>
        <w:t>AÇIKLAMALAR</w:t>
      </w:r>
    </w:p>
    <w:p>
      <w:pPr>
        <w:spacing w:after="64" w:line="245" w:lineRule="auto"/>
        <w:ind w:firstLine="317"/>
      </w:pPr>
      <w:r>
        <w:rPr>
          <w:b/>
        </w:rPr>
        <w:t xml:space="preserve">1. </w:t>
      </w:r>
      <w:r>
        <w:t>Mahkemenizin dosyasında sanık [suçlama] nedeniyle yargılanmaktadır. Sanık [tarih] tarihli celseye katılmış; oturumun [gerçek saat ve işlem] aşamasında [tutanaktaki olay] gerçekleşmiştir. Duruşma tutanağındaki ara, geri çağrı, izin ve yokluk kaydı aynen şu şekildedir: [kısa ve doğru kayıt].</w:t>
      </w:r>
    </w:p>
    <w:p>
      <w:pPr>
        <w:spacing w:after="64" w:line="245" w:lineRule="auto"/>
        <w:ind w:firstLine="317"/>
      </w:pPr>
      <w:r>
        <w:rPr>
          <w:b/>
        </w:rPr>
        <w:t xml:space="preserve">2. </w:t>
      </w:r>
      <w:r>
        <w:t>Sanığın savuştuğu veya ara vermeyi izleyen oturuma gelmediği kabulüne dayanak gösterilen [mübaşir tutanağı, kolluk kaydı, kamera ya da celse tutanağı] dosyada [evrak tarihi ve numarası] ile bulunmaktadır. Kayıt, [açıkça gösterdiği husus] dışında [varsayılmaması gereken sonuç] hakkında kesin bilgi içermemektedir.</w:t>
      </w:r>
    </w:p>
    <w:p>
      <w:pPr>
        <w:spacing w:after="64" w:line="245" w:lineRule="auto"/>
        <w:ind w:firstLine="317"/>
      </w:pPr>
      <w:r>
        <w:rPr>
          <w:b/>
        </w:rPr>
        <w:t xml:space="preserve">3. </w:t>
      </w:r>
      <w:r>
        <w:t>CMK m.194/2, maddede belirtilen yokluk biçiminin yanında sanığın önceden sorguya çekilmiş olmasını ve artık hazır bulunmasına mahkemece gerek görülmemesini birlikte arar. Bu koşullardan biri eksikse madde, davanın sanığın yokluğunda bitirilmesine dayanak oluşturmaz.</w:t>
      </w:r>
    </w:p>
    <w:p>
      <w:pPr>
        <w:spacing w:after="64" w:line="245" w:lineRule="auto"/>
        <w:ind w:firstLine="317"/>
      </w:pPr>
      <w:r>
        <w:rPr>
          <w:b/>
        </w:rPr>
        <w:t xml:space="preserve">4. </w:t>
      </w:r>
      <w:r>
        <w:t>Dosyada [tarih] tarihli [mahkeme] sorgu tutanağı vardır / yoktur. Var olduğu kabul ediliyorsa sorgunun eldeki iddianamedeki [isnat] hakkında yapıldığı, hakların bildirildiği ve savunmanın alındığı tutanak üzerinden belirlenmelidir. Kolluk veya savcılık ifadesi, salt kimlik tespiti ya da başka dosyadaki beyan aynı işlem değildir.</w:t>
      </w:r>
    </w:p>
    <w:p>
      <w:pPr>
        <w:spacing w:after="64" w:line="245" w:lineRule="auto"/>
        <w:ind w:firstLine="317"/>
      </w:pPr>
      <w:r>
        <w:rPr>
          <w:b/>
        </w:rPr>
        <w:t xml:space="preserve">5. </w:t>
      </w:r>
      <w:r>
        <w:t>Dosyada henüz [tanık, yüzleştirme, teşhis, rapor, ek savunma, yeni delil veya kişisel açıklama] işlemi bulunmaktadır. Bu işlem nedeniyle sanığın hazır bulunmasının neden artık gerekli olmadığı somutlaştırılmadan yoklukta bitirme, CMK m.194/2'nin üçüncü koşulunu karşılamaz.</w:t>
      </w:r>
    </w:p>
    <w:p>
      <w:pPr>
        <w:spacing w:after="64" w:line="245" w:lineRule="auto"/>
        <w:ind w:firstLine="317"/>
      </w:pPr>
      <w:r>
        <w:rPr>
          <w:b/>
        </w:rPr>
        <w:t xml:space="preserve">6. </w:t>
      </w:r>
      <w:r>
        <w:t>Mahkemeniz sanığın hazır bulunmasına artık gerek olmadığı kanaatindeyse bu kanaatin dayandığı tamamlanmış işlemler ara kararda gösterilmelidir. Müdafie [sonradan giren delil / esas hakkındaki mütalaa] açıklanmalı, inceleme ve cevap için gerçek imkân tanınmalı, delil ve usul taleplerimiz ayrı ayrı karara bağlanmalıdır.</w:t>
      </w:r>
    </w:p>
    <w:p>
      <w:pPr>
        <w:spacing w:after="64" w:line="245" w:lineRule="auto"/>
        <w:ind w:firstLine="317"/>
      </w:pPr>
      <w:r>
        <w:rPr>
          <w:b/>
        </w:rPr>
        <w:t xml:space="preserve">7. </w:t>
      </w:r>
      <w:r>
        <w:t>Sanığın yokluğu, müdafiin CMK m.197 uyarınca bütün oturumlara katılma yetkisini kaldırmaz. Müdafiin varlığı da sanığın kişisel beyanını zorunlu kılan yeni bir işlemi kendiliğinden ikame etmez. Dosyanın güncel gereksinimi ile savunma güvenceleri birlikte değerlendirilmelidir.</w:t>
      </w:r>
    </w:p>
    <w:p>
      <w:pPr>
        <w:spacing w:after="64" w:line="245" w:lineRule="auto"/>
        <w:ind w:firstLine="317"/>
      </w:pPr>
      <w:r>
        <w:rPr>
          <w:b/>
        </w:rPr>
        <w:t xml:space="preserve">8. </w:t>
      </w:r>
      <w:r>
        <w:t>CMK m.194/2 koşulları oluşmuşsa dava yoklukta bitirilebilir; madde yalnız beraat veya düşme kararlarıyla sınırlı değildir. Bu nedenle esas savunmalarımız, hukuka aykırı delil itirazlarımız ve [tarih] tarihli taleplerimiz aynen korunmaktadır.</w:t>
      </w:r>
    </w:p>
    <w:p>
      <w:pPr>
        <w:spacing w:after="64" w:line="245" w:lineRule="auto"/>
        <w:ind w:firstLine="317"/>
      </w:pPr>
      <w:r>
        <w:rPr>
          <w:b/>
        </w:rPr>
        <w:t xml:space="preserve">9. </w:t>
      </w:r>
      <w:r>
        <w:t>Mahkeme yoklukta hüküm kurarsa hangi delilin hangi sonuç için üstün tutulduğunu CMK m.230'a uygun gerekçede; sonuç, yaptırım, gider, tedbir ve kanun yolunu CMK m.232'ye uygun hüküm fıkrasında göstermelidir. Gerekçeli kararın usulüne uygun tebliği ayrıca sağlanmalıdır.</w:t>
      </w:r>
    </w:p>
    <w:p>
      <w:pPr>
        <w:spacing w:before="50"/>
      </w:pPr>
      <w:r>
        <w:rPr>
          <w:b/>
        </w:rPr>
        <w:t xml:space="preserve">HUKUKİ NEDENLER: </w:t>
      </w:r>
      <w:r>
        <w:t>5271 sayılı CMK m.193, 194, 197, 201, 206, 216, 219-222, 230, 232 ve somut olaya uygulanabilen diğer hükümler.</w:t>
      </w:r>
    </w:p>
    <w:p>
      <w:r>
        <w:rPr>
          <w:b/>
        </w:rPr>
        <w:t xml:space="preserve">DELİLLER VE EKLER: </w:t>
      </w:r>
      <w:r>
        <w:t>[Celse ve sorgu tutanakları], [ara/yokluk çağrısı kaydı], [mübaşir veya kolluk tutanağı], [varsa sağlık ve iletişim belgesi], [yeni delil veya rapor], [tebligat kayıtları] ve yalnız dosyada bulunan diğer gerçek kayıtlar.</w:t>
      </w:r>
    </w:p>
    <w:p>
      <w:pPr>
        <w:spacing w:before="50" w:after="60"/>
      </w:pPr>
      <w:r>
        <w:rPr>
          <w:b/>
        </w:rPr>
        <w:t xml:space="preserve">SONUÇ VE İSTEM: </w:t>
      </w:r>
      <w:r>
        <w:t>Açıklanan nedenlerle; (1) [celse] tarihindeki olayın CMK m.194/2'deki savuşma veya ara vermeyi izleyen oturuma gelmeme hâllerinden birini oluşturup oluşturmadığının gerçek tutanaklarla belirlenmesine, (2) sanığın aynı suçlama bakımından önceden usulüne uygun sorguya çekilip çekilmediğinin saptanmasına, (3) sanığın hazır bulunmasının neden artık gerekli olmadığının gerekçeli kararla gösterilmesine, bu koşullardan biri yoksa davanın sanığın yokluğunda bitirilmemesine, (4) koşulların oluştuğu kanaatindeyseniz yeni deliller ve mütalaaya karşı savunma imkânı tanınmasına, taleplerimizin karara bağlanmasına ve hükmün gerekçeli olarak tebliğine karar verilmesini saygıyla talep ederim. [Tarih]</w:t>
      </w:r>
    </w:p>
    <w:p>
      <w:pPr>
        <w:jc w:val="right"/>
      </w:pPr>
      <w:r>
        <w:rPr>
          <w:b/>
        </w:rPr>
        <w:t>Sanık / müdafi</w:t>
        <w:br/>
      </w:r>
      <w:r>
        <w:t>[Ad soyad ve imza]</w:t>
      </w:r>
    </w:p>
    <w:p>
      <w:pPr>
        <w:sectPr>
          <w:pgSz w:w="12240" w:h="15840"/>
          <w:pgMar w:top="662" w:right="950" w:bottom="662" w:left="950" w:header="720" w:footer="720" w:gutter="0"/>
          <w:cols w:space="720"/>
          <w:docGrid w:linePitch="360"/>
        </w:sectPr>
      </w:pPr>
    </w:p>
    <w:p>
      <w:pPr>
        <w:pStyle w:val="Heading1"/>
        <w:jc w:val="center"/>
      </w:pPr>
      <w:r>
        <w:t>CMK 194 2 Yoklukta Bitirme Kontrol Çizelgesi</w:t>
      </w:r>
    </w:p>
    <w:p>
      <w:r>
        <w:t>Aşağıdaki alanlar gerçek dosya kayıtlarıyla doldurulmalıdır. Çizelge, sanığın savuştuğu veya davanın yoklukta bitirilebileceği sonucunu önceden kabul etmez; kanundaki koşulların izlenebilir biçimde denetlenmesini sağlar.</w:t>
      </w:r>
    </w:p>
    <w:tbl>
      <w:tblPr>
        <w:tblStyle w:val="TableGrid"/>
        <w:tblW w:type="auto" w:w="0"/>
        <w:tblLayout w:type="fixed"/>
        <w:tblLook w:firstColumn="1" w:firstRow="1" w:lastColumn="0" w:lastRow="0" w:noHBand="0" w:noVBand="1" w:val="04A0"/>
      </w:tblPr>
      <w:tblGrid>
        <w:gridCol w:w="3447"/>
        <w:gridCol w:w="3447"/>
        <w:gridCol w:w="3447"/>
      </w:tblGrid>
      <w:tr>
        <w:trPr>
          <w:tblHeader w:val="true"/>
        </w:trPr>
        <w:tc>
          <w:tcPr>
            <w:tcW w:type="dxa" w:w="2160"/>
            <w:vAlign w:val="center"/>
            <w:tcMar>
              <w:top w:w="70" w:type="dxa"/>
              <w:start w:w="80" w:type="dxa"/>
              <w:bottom w:w="70" w:type="dxa"/>
              <w:end w:w="80" w:type="dxa"/>
            </w:tcMar>
            <w:shd w:fill="1F4E78"/>
          </w:tcPr>
          <w:p>
            <w:pPr>
              <w:jc w:val="center"/>
            </w:pPr>
            <w:r>
              <w:rPr>
                <w:rFonts w:ascii="Times New Roman" w:hAnsi="Times New Roman"/>
                <w:b/>
                <w:color w:val="FFFFFF"/>
                <w:sz w:val="16"/>
              </w:rPr>
              <w:t>Kontrol</w:t>
            </w:r>
          </w:p>
        </w:tc>
        <w:tc>
          <w:tcPr>
            <w:tcW w:type="dxa" w:w="4968"/>
            <w:vAlign w:val="center"/>
            <w:tcMar>
              <w:top w:w="70" w:type="dxa"/>
              <w:start w:w="80" w:type="dxa"/>
              <w:bottom w:w="70" w:type="dxa"/>
              <w:end w:w="80" w:type="dxa"/>
            </w:tcMar>
            <w:shd w:fill="1F4E78"/>
          </w:tcPr>
          <w:p>
            <w:pPr>
              <w:jc w:val="center"/>
            </w:pPr>
            <w:r>
              <w:rPr>
                <w:rFonts w:ascii="Times New Roman" w:hAnsi="Times New Roman"/>
                <w:b/>
                <w:color w:val="FFFFFF"/>
                <w:sz w:val="16"/>
              </w:rPr>
              <w:t>Dosyaya Yazılacak Bilgi</w:t>
            </w:r>
          </w:p>
        </w:tc>
        <w:tc>
          <w:tcPr>
            <w:tcW w:type="dxa" w:w="2808"/>
            <w:vAlign w:val="center"/>
            <w:tcMar>
              <w:top w:w="70" w:type="dxa"/>
              <w:start w:w="80" w:type="dxa"/>
              <w:bottom w:w="70" w:type="dxa"/>
              <w:end w:w="80" w:type="dxa"/>
            </w:tcMar>
            <w:shd w:fill="1F4E78"/>
          </w:tcPr>
          <w:p>
            <w:pPr>
              <w:jc w:val="center"/>
            </w:pPr>
            <w:r>
              <w:rPr>
                <w:rFonts w:ascii="Times New Roman" w:hAnsi="Times New Roman"/>
                <w:b/>
                <w:color w:val="FFFFFF"/>
                <w:sz w:val="16"/>
              </w:rPr>
              <w:t>Hukuki Amaç</w:t>
            </w:r>
          </w:p>
        </w:tc>
      </w:tr>
      <w:tr>
        <w:tc>
          <w:tcPr>
            <w:tcW w:type="dxa" w:w="2160"/>
            <w:vAlign w:val="center"/>
            <w:tcMar>
              <w:top w:w="70" w:type="dxa"/>
              <w:start w:w="80" w:type="dxa"/>
              <w:bottom w:w="70" w:type="dxa"/>
              <w:end w:w="80" w:type="dxa"/>
            </w:tcMar>
          </w:tcPr>
          <w:p>
            <w:pPr>
              <w:jc w:val="center"/>
            </w:pPr>
            <w:r>
              <w:rPr>
                <w:rFonts w:ascii="Times New Roman" w:hAnsi="Times New Roman"/>
                <w:sz w:val="15"/>
              </w:rPr>
              <w:t>Yokluk biçimi</w:t>
            </w:r>
          </w:p>
        </w:tc>
        <w:tc>
          <w:tcPr>
            <w:tcW w:type="dxa" w:w="4968"/>
            <w:vAlign w:val="center"/>
            <w:tcMar>
              <w:top w:w="70" w:type="dxa"/>
              <w:start w:w="80" w:type="dxa"/>
              <w:bottom w:w="70" w:type="dxa"/>
              <w:end w:w="80" w:type="dxa"/>
            </w:tcMar>
          </w:tcPr>
          <w:p>
            <w:pPr>
              <w:jc w:val="left"/>
            </w:pPr>
            <w:r>
              <w:rPr>
                <w:rFonts w:ascii="Times New Roman" w:hAnsi="Times New Roman"/>
                <w:sz w:val="15"/>
              </w:rPr>
              <w:t>[Savuşma / ara sonrası gelmeme]</w:t>
            </w:r>
          </w:p>
        </w:tc>
        <w:tc>
          <w:tcPr>
            <w:tcW w:type="dxa" w:w="2808"/>
            <w:vAlign w:val="center"/>
            <w:tcMar>
              <w:top w:w="70" w:type="dxa"/>
              <w:start w:w="80" w:type="dxa"/>
              <w:bottom w:w="70" w:type="dxa"/>
              <w:end w:w="80" w:type="dxa"/>
            </w:tcMar>
          </w:tcPr>
          <w:p>
            <w:pPr>
              <w:jc w:val="center"/>
            </w:pPr>
            <w:r>
              <w:rPr>
                <w:rFonts w:ascii="Times New Roman" w:hAnsi="Times New Roman"/>
                <w:sz w:val="15"/>
              </w:rPr>
              <w:t>CMK 194/2 ilk eşik</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Celse ve saat</w:t>
            </w:r>
          </w:p>
        </w:tc>
        <w:tc>
          <w:tcPr>
            <w:tcW w:type="dxa" w:w="4968"/>
            <w:vAlign w:val="center"/>
            <w:tcMar>
              <w:top w:w="70" w:type="dxa"/>
              <w:start w:w="80" w:type="dxa"/>
              <w:bottom w:w="70" w:type="dxa"/>
              <w:end w:w="80" w:type="dxa"/>
            </w:tcMar>
            <w:shd w:fill="EAF2F8"/>
          </w:tcPr>
          <w:p>
            <w:pPr>
              <w:jc w:val="left"/>
            </w:pPr>
            <w:r>
              <w:rPr>
                <w:rFonts w:ascii="Times New Roman" w:hAnsi="Times New Roman"/>
                <w:sz w:val="15"/>
              </w:rPr>
              <w:t>[Başlangıç, ara, dönüş, bitiş]</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Tutanak doğruluğu</w:t>
            </w:r>
          </w:p>
        </w:tc>
      </w:tr>
      <w:tr>
        <w:tc>
          <w:tcPr>
            <w:tcW w:type="dxa" w:w="2160"/>
            <w:vAlign w:val="center"/>
            <w:tcMar>
              <w:top w:w="70" w:type="dxa"/>
              <w:start w:w="80" w:type="dxa"/>
              <w:bottom w:w="70" w:type="dxa"/>
              <w:end w:w="80" w:type="dxa"/>
            </w:tcMar>
          </w:tcPr>
          <w:p>
            <w:pPr>
              <w:jc w:val="center"/>
            </w:pPr>
            <w:r>
              <w:rPr>
                <w:rFonts w:ascii="Times New Roman" w:hAnsi="Times New Roman"/>
                <w:sz w:val="15"/>
              </w:rPr>
              <w:t>Çağrı ve izin</w:t>
            </w:r>
          </w:p>
        </w:tc>
        <w:tc>
          <w:tcPr>
            <w:tcW w:type="dxa" w:w="4968"/>
            <w:vAlign w:val="center"/>
            <w:tcMar>
              <w:top w:w="70" w:type="dxa"/>
              <w:start w:w="80" w:type="dxa"/>
              <w:bottom w:w="70" w:type="dxa"/>
              <w:end w:w="80" w:type="dxa"/>
            </w:tcMar>
          </w:tcPr>
          <w:p>
            <w:pPr>
              <w:jc w:val="left"/>
            </w:pPr>
            <w:r>
              <w:rPr>
                <w:rFonts w:ascii="Times New Roman" w:hAnsi="Times New Roman"/>
                <w:sz w:val="15"/>
              </w:rPr>
              <w:t>[Geri çağrı / izin / iletişim]</w:t>
            </w:r>
          </w:p>
        </w:tc>
        <w:tc>
          <w:tcPr>
            <w:tcW w:type="dxa" w:w="2808"/>
            <w:vAlign w:val="center"/>
            <w:tcMar>
              <w:top w:w="70" w:type="dxa"/>
              <w:start w:w="80" w:type="dxa"/>
              <w:bottom w:w="70" w:type="dxa"/>
              <w:end w:w="80" w:type="dxa"/>
            </w:tcMar>
          </w:tcPr>
          <w:p>
            <w:pPr>
              <w:jc w:val="center"/>
            </w:pPr>
            <w:r>
              <w:rPr>
                <w:rFonts w:ascii="Times New Roman" w:hAnsi="Times New Roman"/>
                <w:sz w:val="15"/>
              </w:rPr>
              <w:t>Fiilî olay ayrımı</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Dayanak kayıt</w:t>
            </w:r>
          </w:p>
        </w:tc>
        <w:tc>
          <w:tcPr>
            <w:tcW w:type="dxa" w:w="4968"/>
            <w:vAlign w:val="center"/>
            <w:tcMar>
              <w:top w:w="70" w:type="dxa"/>
              <w:start w:w="80" w:type="dxa"/>
              <w:bottom w:w="70" w:type="dxa"/>
              <w:end w:w="80" w:type="dxa"/>
            </w:tcMar>
            <w:shd w:fill="EAF2F8"/>
          </w:tcPr>
          <w:p>
            <w:pPr>
              <w:jc w:val="left"/>
            </w:pPr>
            <w:r>
              <w:rPr>
                <w:rFonts w:ascii="Times New Roman" w:hAnsi="Times New Roman"/>
                <w:sz w:val="15"/>
              </w:rPr>
              <w:t>[Mübaşir, kolluk, kamera, tutanak]</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Kaynak ve kapsam</w:t>
            </w:r>
          </w:p>
        </w:tc>
      </w:tr>
      <w:tr>
        <w:tc>
          <w:tcPr>
            <w:tcW w:type="dxa" w:w="2160"/>
            <w:vAlign w:val="center"/>
            <w:tcMar>
              <w:top w:w="70" w:type="dxa"/>
              <w:start w:w="80" w:type="dxa"/>
              <w:bottom w:w="70" w:type="dxa"/>
              <w:end w:w="80" w:type="dxa"/>
            </w:tcMar>
          </w:tcPr>
          <w:p>
            <w:pPr>
              <w:jc w:val="center"/>
            </w:pPr>
            <w:r>
              <w:rPr>
                <w:rFonts w:ascii="Times New Roman" w:hAnsi="Times New Roman"/>
                <w:sz w:val="15"/>
              </w:rPr>
              <w:t>Önceki sorgu</w:t>
            </w:r>
          </w:p>
        </w:tc>
        <w:tc>
          <w:tcPr>
            <w:tcW w:type="dxa" w:w="4968"/>
            <w:vAlign w:val="center"/>
            <w:tcMar>
              <w:top w:w="70" w:type="dxa"/>
              <w:start w:w="80" w:type="dxa"/>
              <w:bottom w:w="70" w:type="dxa"/>
              <w:end w:w="80" w:type="dxa"/>
            </w:tcMar>
          </w:tcPr>
          <w:p>
            <w:pPr>
              <w:jc w:val="left"/>
            </w:pPr>
            <w:r>
              <w:rPr>
                <w:rFonts w:ascii="Times New Roman" w:hAnsi="Times New Roman"/>
                <w:sz w:val="15"/>
              </w:rPr>
              <w:t>[Tarih, mahkeme, isnat]</w:t>
            </w:r>
          </w:p>
        </w:tc>
        <w:tc>
          <w:tcPr>
            <w:tcW w:type="dxa" w:w="2808"/>
            <w:vAlign w:val="center"/>
            <w:tcMar>
              <w:top w:w="70" w:type="dxa"/>
              <w:start w:w="80" w:type="dxa"/>
              <w:bottom w:w="70" w:type="dxa"/>
              <w:end w:w="80" w:type="dxa"/>
            </w:tcMar>
          </w:tcPr>
          <w:p>
            <w:pPr>
              <w:jc w:val="center"/>
            </w:pPr>
            <w:r>
              <w:rPr>
                <w:rFonts w:ascii="Times New Roman" w:hAnsi="Times New Roman"/>
                <w:sz w:val="15"/>
              </w:rPr>
              <w:t>Zorunlu ikinci koşul</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Yeni suç vasfı</w:t>
            </w:r>
          </w:p>
        </w:tc>
        <w:tc>
          <w:tcPr>
            <w:tcW w:type="dxa" w:w="4968"/>
            <w:vAlign w:val="center"/>
            <w:tcMar>
              <w:top w:w="70" w:type="dxa"/>
              <w:start w:w="80" w:type="dxa"/>
              <w:bottom w:w="70" w:type="dxa"/>
              <w:end w:w="80" w:type="dxa"/>
            </w:tcMar>
            <w:shd w:fill="EAF2F8"/>
          </w:tcPr>
          <w:p>
            <w:pPr>
              <w:jc w:val="left"/>
            </w:pPr>
            <w:r>
              <w:rPr>
                <w:rFonts w:ascii="Times New Roman" w:hAnsi="Times New Roman"/>
                <w:sz w:val="15"/>
              </w:rPr>
              <w:t>[Ek savunma gereği]</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Sorgunun kapsamı</w:t>
            </w:r>
          </w:p>
        </w:tc>
      </w:tr>
      <w:tr>
        <w:tc>
          <w:tcPr>
            <w:tcW w:type="dxa" w:w="2160"/>
            <w:vAlign w:val="center"/>
            <w:tcMar>
              <w:top w:w="70" w:type="dxa"/>
              <w:start w:w="80" w:type="dxa"/>
              <w:bottom w:w="70" w:type="dxa"/>
              <w:end w:w="80" w:type="dxa"/>
            </w:tcMar>
          </w:tcPr>
          <w:p>
            <w:pPr>
              <w:jc w:val="center"/>
            </w:pPr>
            <w:r>
              <w:rPr>
                <w:rFonts w:ascii="Times New Roman" w:hAnsi="Times New Roman"/>
                <w:sz w:val="15"/>
              </w:rPr>
              <w:t>Bekleyen işlem</w:t>
            </w:r>
          </w:p>
        </w:tc>
        <w:tc>
          <w:tcPr>
            <w:tcW w:type="dxa" w:w="4968"/>
            <w:vAlign w:val="center"/>
            <w:tcMar>
              <w:top w:w="70" w:type="dxa"/>
              <w:start w:w="80" w:type="dxa"/>
              <w:bottom w:w="70" w:type="dxa"/>
              <w:end w:w="80" w:type="dxa"/>
            </w:tcMar>
          </w:tcPr>
          <w:p>
            <w:pPr>
              <w:jc w:val="left"/>
            </w:pPr>
            <w:r>
              <w:rPr>
                <w:rFonts w:ascii="Times New Roman" w:hAnsi="Times New Roman"/>
                <w:sz w:val="15"/>
              </w:rPr>
              <w:t>[Tanık, yüzleştirme, rapor]</w:t>
            </w:r>
          </w:p>
        </w:tc>
        <w:tc>
          <w:tcPr>
            <w:tcW w:type="dxa" w:w="2808"/>
            <w:vAlign w:val="center"/>
            <w:tcMar>
              <w:top w:w="70" w:type="dxa"/>
              <w:start w:w="80" w:type="dxa"/>
              <w:bottom w:w="70" w:type="dxa"/>
              <w:end w:w="80" w:type="dxa"/>
            </w:tcMar>
          </w:tcPr>
          <w:p>
            <w:pPr>
              <w:jc w:val="center"/>
            </w:pPr>
            <w:r>
              <w:rPr>
                <w:rFonts w:ascii="Times New Roman" w:hAnsi="Times New Roman"/>
                <w:sz w:val="15"/>
              </w:rPr>
              <w:t>Hazır bulunma ihtiyacı</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Müdafi katılımı</w:t>
            </w:r>
          </w:p>
        </w:tc>
        <w:tc>
          <w:tcPr>
            <w:tcW w:type="dxa" w:w="4968"/>
            <w:vAlign w:val="center"/>
            <w:tcMar>
              <w:top w:w="70" w:type="dxa"/>
              <w:start w:w="80" w:type="dxa"/>
              <w:bottom w:w="70" w:type="dxa"/>
              <w:end w:w="80" w:type="dxa"/>
            </w:tcMar>
            <w:shd w:fill="EAF2F8"/>
          </w:tcPr>
          <w:p>
            <w:pPr>
              <w:jc w:val="left"/>
            </w:pPr>
            <w:r>
              <w:rPr>
                <w:rFonts w:ascii="Times New Roman" w:hAnsi="Times New Roman"/>
                <w:sz w:val="15"/>
              </w:rPr>
              <w:t>[Bildirim ve celse kaydı]</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CMK 197</w:t>
            </w:r>
          </w:p>
        </w:tc>
      </w:tr>
      <w:tr>
        <w:tc>
          <w:tcPr>
            <w:tcW w:type="dxa" w:w="2160"/>
            <w:vAlign w:val="center"/>
            <w:tcMar>
              <w:top w:w="70" w:type="dxa"/>
              <w:start w:w="80" w:type="dxa"/>
              <w:bottom w:w="70" w:type="dxa"/>
              <w:end w:w="80" w:type="dxa"/>
            </w:tcMar>
          </w:tcPr>
          <w:p>
            <w:pPr>
              <w:jc w:val="center"/>
            </w:pPr>
            <w:r>
              <w:rPr>
                <w:rFonts w:ascii="Times New Roman" w:hAnsi="Times New Roman"/>
                <w:sz w:val="15"/>
              </w:rPr>
              <w:t>Yeni delil</w:t>
            </w:r>
          </w:p>
        </w:tc>
        <w:tc>
          <w:tcPr>
            <w:tcW w:type="dxa" w:w="4968"/>
            <w:vAlign w:val="center"/>
            <w:tcMar>
              <w:top w:w="70" w:type="dxa"/>
              <w:start w:w="80" w:type="dxa"/>
              <w:bottom w:w="70" w:type="dxa"/>
              <w:end w:w="80" w:type="dxa"/>
            </w:tcMar>
          </w:tcPr>
          <w:p>
            <w:pPr>
              <w:jc w:val="left"/>
            </w:pPr>
            <w:r>
              <w:rPr>
                <w:rFonts w:ascii="Times New Roman" w:hAnsi="Times New Roman"/>
                <w:sz w:val="15"/>
              </w:rPr>
              <w:t>[Tebliğ ve cevap süresi]</w:t>
            </w:r>
          </w:p>
        </w:tc>
        <w:tc>
          <w:tcPr>
            <w:tcW w:type="dxa" w:w="2808"/>
            <w:vAlign w:val="center"/>
            <w:tcMar>
              <w:top w:w="70" w:type="dxa"/>
              <w:start w:w="80" w:type="dxa"/>
              <w:bottom w:w="70" w:type="dxa"/>
              <w:end w:w="80" w:type="dxa"/>
            </w:tcMar>
          </w:tcPr>
          <w:p>
            <w:pPr>
              <w:jc w:val="center"/>
            </w:pPr>
            <w:r>
              <w:rPr>
                <w:rFonts w:ascii="Times New Roman" w:hAnsi="Times New Roman"/>
                <w:sz w:val="15"/>
              </w:rPr>
              <w:t>Çelişmeli yargılama</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Ara karar</w:t>
            </w:r>
          </w:p>
        </w:tc>
        <w:tc>
          <w:tcPr>
            <w:tcW w:type="dxa" w:w="4968"/>
            <w:vAlign w:val="center"/>
            <w:tcMar>
              <w:top w:w="70" w:type="dxa"/>
              <w:start w:w="80" w:type="dxa"/>
              <w:bottom w:w="70" w:type="dxa"/>
              <w:end w:w="80" w:type="dxa"/>
            </w:tcMar>
            <w:shd w:fill="EAF2F8"/>
          </w:tcPr>
          <w:p>
            <w:pPr>
              <w:jc w:val="left"/>
            </w:pPr>
            <w:r>
              <w:rPr>
                <w:rFonts w:ascii="Times New Roman" w:hAnsi="Times New Roman"/>
                <w:sz w:val="15"/>
              </w:rPr>
              <w:t>[Koşullar ve gerekçe]</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Denetlenebilirlik</w:t>
            </w:r>
          </w:p>
        </w:tc>
      </w:tr>
      <w:tr>
        <w:tc>
          <w:tcPr>
            <w:tcW w:type="dxa" w:w="2160"/>
            <w:vAlign w:val="center"/>
            <w:tcMar>
              <w:top w:w="70" w:type="dxa"/>
              <w:start w:w="80" w:type="dxa"/>
              <w:bottom w:w="70" w:type="dxa"/>
              <w:end w:w="80" w:type="dxa"/>
            </w:tcMar>
          </w:tcPr>
          <w:p>
            <w:pPr>
              <w:jc w:val="center"/>
            </w:pPr>
            <w:r>
              <w:rPr>
                <w:rFonts w:ascii="Times New Roman" w:hAnsi="Times New Roman"/>
                <w:sz w:val="15"/>
              </w:rPr>
              <w:t>Esas savunma</w:t>
            </w:r>
          </w:p>
        </w:tc>
        <w:tc>
          <w:tcPr>
            <w:tcW w:type="dxa" w:w="4968"/>
            <w:vAlign w:val="center"/>
            <w:tcMar>
              <w:top w:w="70" w:type="dxa"/>
              <w:start w:w="80" w:type="dxa"/>
              <w:bottom w:w="70" w:type="dxa"/>
              <w:end w:w="80" w:type="dxa"/>
            </w:tcMar>
          </w:tcPr>
          <w:p>
            <w:pPr>
              <w:jc w:val="left"/>
            </w:pPr>
            <w:r>
              <w:rPr>
                <w:rFonts w:ascii="Times New Roman" w:hAnsi="Times New Roman"/>
                <w:sz w:val="15"/>
              </w:rPr>
              <w:t>[Tarih ve talepler]</w:t>
            </w:r>
          </w:p>
        </w:tc>
        <w:tc>
          <w:tcPr>
            <w:tcW w:type="dxa" w:w="2808"/>
            <w:vAlign w:val="center"/>
            <w:tcMar>
              <w:top w:w="70" w:type="dxa"/>
              <w:start w:w="80" w:type="dxa"/>
              <w:bottom w:w="70" w:type="dxa"/>
              <w:end w:w="80" w:type="dxa"/>
            </w:tcMar>
          </w:tcPr>
          <w:p>
            <w:pPr>
              <w:jc w:val="center"/>
            </w:pPr>
            <w:r>
              <w:rPr>
                <w:rFonts w:ascii="Times New Roman" w:hAnsi="Times New Roman"/>
                <w:sz w:val="15"/>
              </w:rPr>
              <w:t>Hüküm denetimi</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Tebligat</w:t>
            </w:r>
          </w:p>
        </w:tc>
        <w:tc>
          <w:tcPr>
            <w:tcW w:type="dxa" w:w="4968"/>
            <w:vAlign w:val="center"/>
            <w:tcMar>
              <w:top w:w="70" w:type="dxa"/>
              <w:start w:w="80" w:type="dxa"/>
              <w:bottom w:w="70" w:type="dxa"/>
              <w:end w:w="80" w:type="dxa"/>
            </w:tcMar>
            <w:shd w:fill="EAF2F8"/>
          </w:tcPr>
          <w:p>
            <w:pPr>
              <w:jc w:val="left"/>
            </w:pPr>
            <w:r>
              <w:rPr>
                <w:rFonts w:ascii="Times New Roman" w:hAnsi="Times New Roman"/>
                <w:sz w:val="15"/>
              </w:rPr>
              <w:t>[Gerekçeli karar tarihi]</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Kanun yolu takibi</w:t>
            </w:r>
          </w:p>
        </w:tc>
      </w:tr>
    </w:tbl>
    <w:p>
      <w:pPr>
        <w:pStyle w:val="Heading1"/>
      </w:pPr>
      <w:r>
        <w:t>Kullanım Notları</w:t>
      </w:r>
    </w:p>
    <w:p>
      <w:pPr>
        <w:pStyle w:val="ListBullet"/>
        <w:spacing w:after="40"/>
      </w:pPr>
      <w:r>
        <w:t>Köşeli parantezli alanlar, yalnız UYAP ve dosyadaki gerçek kayıtlarla doldurulmalıdır.</w:t>
      </w:r>
    </w:p>
    <w:p>
      <w:pPr>
        <w:pStyle w:val="ListBullet"/>
        <w:spacing w:after="40"/>
      </w:pPr>
      <w:r>
        <w:t>Kolluk veya savcılık ifadesi, mahkeme sorgusu olarak yazılmamalıdır.</w:t>
      </w:r>
    </w:p>
    <w:p>
      <w:pPr>
        <w:pStyle w:val="ListBullet"/>
        <w:spacing w:after="40"/>
      </w:pPr>
      <w:r>
        <w:t>Bağışıklık, mazeret, kaçaklık ve CMK 194 savuşma hâlleri birbirine karıştırılmamalıdır.</w:t>
      </w:r>
    </w:p>
    <w:p>
      <w:pPr>
        <w:pStyle w:val="ListBullet"/>
        <w:spacing w:after="40"/>
      </w:pPr>
      <w:r>
        <w:t>Hüküm kurulmuşsa kanun yolu süresi gerçek tebliğ kaydından ayrıca hesaplanmalıdır.</w:t>
      </w:r>
    </w:p>
    <w:sectPr w:rsidR="00FC693F" w:rsidRPr="0006063C" w:rsidSect="00034616">
      <w:pgSz w:w="12240" w:h="15840"/>
      <w:pgMar w:top="662"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6" w:line="240"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90" w:after="44"/>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194 2 Yoklukta Devam Koşullarının İncelenmesi Talebi</dc:title>
  <dc:subject>Ceza davasında sanığın savuşması veya ara sonrası gelmemesi hâlinde yoklukta bitirme koşullarının denetlenmesi</dc:subject>
  <dc:creator>Avukat Halil Bakırcı</dc:creator>
  <cp:keywords>CMK 194, sanığın savuşması, yoklukta duruşma, dilekçe</cp:keywords>
  <dc:description>generated by python-docx</dc:description>
  <cp:lastModifiedBy/>
  <cp:revision>1</cp:revision>
  <dcterms:created xsi:type="dcterms:W3CDTF">2013-12-23T23:15:00Z</dcterms:created>
  <dcterms:modified xsi:type="dcterms:W3CDTF">2013-12-23T23:15:00Z</dcterms:modified>
  <cp:category/>
</cp:coreProperties>
</file>