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195 Yoklukta Duruşma İhtarı Eksikliğinin Giderilmesi Talebi</w:t>
      </w:r>
    </w:p>
    <w:p>
      <w:pPr>
        <w:spacing w:after="86"/>
        <w:jc w:val="center"/>
      </w:pPr>
      <w:r>
        <w:rPr>
          <w:b/>
          <w:sz w:val="20"/>
        </w:rPr>
        <w:t>[İLGİLİ ASLİYE CEZA MAHKEMESİNE / GÖREVLİ CEZA MAHKEMESİNE]</w:t>
      </w:r>
    </w:p>
    <w:p>
      <w:pPr>
        <w:spacing w:after="26"/>
      </w:pPr>
      <w:r>
        <w:rPr>
          <w:b/>
        </w:rPr>
        <w:t xml:space="preserve">ESAS NO: </w:t>
      </w:r>
      <w:r>
        <w:t>[Gerçek esas numarası]</w:t>
      </w:r>
    </w:p>
    <w:p>
      <w:pPr>
        <w:spacing w:after="26"/>
      </w:pPr>
      <w:r>
        <w:rPr>
          <w:b/>
        </w:rPr>
        <w:t xml:space="preserve">SANIK: </w:t>
      </w:r>
      <w:r>
        <w:t>[Ad soyad ve güvenli tebligat adresi]</w:t>
      </w:r>
    </w:p>
    <w:p>
      <w:pPr>
        <w:spacing w:after="26"/>
      </w:pPr>
      <w:r>
        <w:rPr>
          <w:b/>
        </w:rPr>
        <w:t xml:space="preserve">MÜDAFİ: </w:t>
      </w:r>
      <w:r>
        <w:t>[Varsa avukat adı baro sicil numarası ve adresi]</w:t>
      </w:r>
    </w:p>
    <w:p>
      <w:pPr>
        <w:spacing w:before="40" w:after="66"/>
      </w:pPr>
      <w:r>
        <w:rPr>
          <w:b/>
        </w:rPr>
        <w:t xml:space="preserve">KONU: </w:t>
      </w:r>
      <w:r>
        <w:t>Sanığa tebliğ edilen [tarih] tarihli duruşma davetiyesinde CMK m.195 kapsamında gelmese de duruşmanın yapılacağı ihtarının bulunmaması veya belirsiz olması nedeniyle eksiklik giderilmeden sanığın yokluğunda duruşma yapılmaması ve kanuni sonucu içeren yeni davetiye çıkarılması talebidir.</w:t>
      </w:r>
    </w:p>
    <w:p>
      <w:pPr>
        <w:pStyle w:val="Heading1"/>
      </w:pPr>
      <w:r>
        <w:t>AÇIKLAMALAR</w:t>
      </w:r>
    </w:p>
    <w:p>
      <w:pPr>
        <w:spacing w:after="60" w:line="245" w:lineRule="auto"/>
        <w:ind w:firstLine="317"/>
      </w:pPr>
      <w:r>
        <w:rPr>
          <w:b/>
        </w:rPr>
        <w:t xml:space="preserve">1. </w:t>
      </w:r>
      <w:r>
        <w:t>Mahkemenizin dosyasında sanık hakkında [iddianamedeki fiil] nedeniyle [madde fıkra ve bent] uyarınca kamu davası yürütülmektedir. İddianame ve kabul kararında gösterilen yaptırım [belgedeki doğru ifade] şeklindedir.</w:t>
      </w:r>
    </w:p>
    <w:p>
      <w:pPr>
        <w:spacing w:after="60" w:line="245" w:lineRule="auto"/>
        <w:ind w:firstLine="317"/>
      </w:pPr>
      <w:r>
        <w:rPr>
          <w:b/>
        </w:rPr>
        <w:t xml:space="preserve">2. </w:t>
      </w:r>
      <w:r>
        <w:t>Sanığa [tebliğ tarihi] tarihinde tebliğ edilen duruşma davetiyesinin tam örneği ektedir. Duruşma [tarih ve saat] için bildirilmiş; gelmeme sonucu davetiyede [belgedeki cümle aynen] şeklinde yazılmıştır / bu konuda herhangi bir cümleye yer verilmemiştir.</w:t>
      </w:r>
    </w:p>
    <w:p>
      <w:pPr>
        <w:spacing w:after="60" w:line="245" w:lineRule="auto"/>
        <w:ind w:firstLine="317"/>
      </w:pPr>
      <w:r>
        <w:rPr>
          <w:b/>
        </w:rPr>
        <w:t xml:space="preserve">3. </w:t>
      </w:r>
      <w:r>
        <w:t>CMK m.195, suçun yalnız adlî para cezası veya müsadere yahut bunların birlikte uygulanmasını gerektirmesi durumunda sanık gelmese bile duruşmaya izin verir. Aynı hüküm, sanığa gönderilecek davetiyede gelmese de duruşmanın yapılacağının yazılmasını açıkça emreder.</w:t>
      </w:r>
    </w:p>
    <w:p>
      <w:pPr>
        <w:spacing w:after="60" w:line="245" w:lineRule="auto"/>
        <w:ind w:firstLine="317"/>
      </w:pPr>
      <w:r>
        <w:rPr>
          <w:b/>
        </w:rPr>
        <w:t xml:space="preserve">4. </w:t>
      </w:r>
      <w:r>
        <w:t>Dosyadaki davetiyede yalnız [zorla getirme genel çağrı veya başka ihtar] bulunmaktadır. CMK m.176/2'deki zorla getirme sonucu ile CMK m.195'teki yoklukta duruşma sonucu farklıdır. Mevcut ifade, sanığın gelmese de duruşmanın yürütülebileceğini açıkça bildirmemektedir.</w:t>
      </w:r>
    </w:p>
    <w:p>
      <w:pPr>
        <w:spacing w:after="60" w:line="245" w:lineRule="auto"/>
        <w:ind w:firstLine="317"/>
      </w:pPr>
      <w:r>
        <w:rPr>
          <w:b/>
        </w:rPr>
        <w:t xml:space="preserve">5. </w:t>
      </w:r>
      <w:r>
        <w:t>CMK m.176/4 gereğince çağrı kâğıdının tebliği ile duruşma günü arasında en az bir hafta bulunmalıdır. Somut olayda tebliğ [tarih], duruşma [tarih] olup aradaki süre [gerçek hesap] gündür. Süre şartı ile özel ihtar şartı ayrı ayrı denetlenmelidir.</w:t>
      </w:r>
    </w:p>
    <w:p>
      <w:pPr>
        <w:spacing w:after="60" w:line="245" w:lineRule="auto"/>
        <w:ind w:firstLine="317"/>
      </w:pPr>
      <w:r>
        <w:rPr>
          <w:b/>
        </w:rPr>
        <w:t xml:space="preserve">6. </w:t>
      </w:r>
      <w:r>
        <w:t>İsnat edilen [hüküm] incelendiğinde [yalnız adlî para cezası müsadere her ikisi veya hapis seçeneği] öngörülmektedir. Hapis seçeneği varsa, cezanın sonradan paraya çevrilebilme ihtimali tek başına CMK m.195 kapsamı oluşturmaz. Yaptırım şartı madde fıkra ve bent üzerinden belirlenmelidir.</w:t>
      </w:r>
    </w:p>
    <w:p>
      <w:pPr>
        <w:spacing w:after="60" w:line="245" w:lineRule="auto"/>
        <w:ind w:firstLine="317"/>
      </w:pPr>
      <w:r>
        <w:rPr>
          <w:b/>
        </w:rPr>
        <w:t xml:space="preserve">7. </w:t>
      </w:r>
      <w:r>
        <w:t>Müdafiin celse tarihini bilmesi, kanunun sanığa gönderilecek davetiye için öngördüğü özel ihtarı kendiliğinden oluşturmaz. Davetiye içeriği, tebliğ mazbatası ve bütün ekleriyle birlikte dosyaya alınmalıdır.</w:t>
      </w:r>
    </w:p>
    <w:p>
      <w:pPr>
        <w:spacing w:after="60" w:line="245" w:lineRule="auto"/>
        <w:ind w:firstLine="317"/>
      </w:pPr>
      <w:r>
        <w:rPr>
          <w:b/>
        </w:rPr>
        <w:t xml:space="preserve">8. </w:t>
      </w:r>
      <w:r>
        <w:t>Eksik ihtara rağmen sanığın yokluğunda [tanık dinlenmesi rapor okunması mütalaa alınması veya hüküm kurulması] savunma hakkını somut olarak etkileyebilecektir. Eksiklik, açık ihtarlı yeni davetiye çıkarılarak giderilebilir; sanığa hazırlanma ve katılma için kanuni zaman tanınmalıdır.</w:t>
      </w:r>
    </w:p>
    <w:p>
      <w:pPr>
        <w:spacing w:after="60" w:line="245" w:lineRule="auto"/>
        <w:ind w:firstLine="317"/>
      </w:pPr>
      <w:r>
        <w:rPr>
          <w:b/>
        </w:rPr>
        <w:t xml:space="preserve">9. </w:t>
      </w:r>
      <w:r>
        <w:t>Mahkemeniz mevcut davetiyeyi yeterli görürse, CMK m.195 ihtarını hangi belge ve cümlenin karşıladığının gerekçeli ara kararda gösterilmesini ve savunma taleplerimizin ayrı ayrı karara bağlanmasını talep ediyoruz.</w:t>
      </w:r>
    </w:p>
    <w:p>
      <w:pPr>
        <w:spacing w:before="46"/>
      </w:pPr>
      <w:r>
        <w:rPr>
          <w:b/>
        </w:rPr>
        <w:t xml:space="preserve">HUKUKİ NEDENLER: </w:t>
      </w:r>
      <w:r>
        <w:t>5271 sayılı CMK m.35-37 176 193 195 197 206 216 219-222 230 232 7201 sayılı Kanun ve ilgili hükümler.</w:t>
      </w:r>
    </w:p>
    <w:p>
      <w:r>
        <w:rPr>
          <w:b/>
        </w:rPr>
        <w:t xml:space="preserve">DELİLLER VE EKLER: </w:t>
      </w:r>
      <w:r>
        <w:t>İddianame ve kabul kararı, yürürlükteki yaptırım metni, davetiye ve bütün ekleri, tebliğ mazbatası veya elektronik tebligat kaydı, duruşma tutanakları, UYAP evrak kayıtları ve yalnız dosyada bulunan gerçek belgeler.</w:t>
      </w:r>
    </w:p>
    <w:p>
      <w:pPr>
        <w:spacing w:before="46" w:after="56"/>
      </w:pPr>
      <w:r>
        <w:rPr>
          <w:b/>
        </w:rPr>
        <w:t xml:space="preserve">SONUÇ VE İSTEM: </w:t>
      </w:r>
      <w:r>
        <w:t>Açıklanan nedenlerle; (1) isnat edilen suçun CMK m.195'teki yaptırım kapsamına girip girmediğinin madde fıkra ve bent üzerinden belirlenmesine, (2) sanığa gönderilen davetiye ile bütün tebligat eklerinin dosyaya alınmasına, (3) davetiyede gelmese de duruşmanın yapılacağı açıkça yazılmamışsa eksiklik giderilmeden sanığın yokluğunda duruşma yapılmamasına, (4) kanuni sonucu içeren yeni davetiye çıkarılarak tebliğ ile duruşma arasında CMK m.176/4'teki sürenin bırakılmasına, (5) aksi kanaatte yeterli görülen ihtar cümlesinin gerekçeli ara kararda gösterilmesine karar verilmesini saygıyla talep ederim. [Tarih]</w:t>
      </w:r>
    </w:p>
    <w:p>
      <w:pPr>
        <w:jc w:val="right"/>
      </w:pPr>
      <w:r>
        <w:rPr>
          <w:b/>
        </w:rPr>
        <w:t>Sanık veya müdafi</w:t>
        <w:br/>
      </w:r>
      <w:r>
        <w:t>[Ad soyad ve imza]</w:t>
      </w:r>
    </w:p>
    <w:p>
      <w:pPr>
        <w:sectPr>
          <w:pgSz w:w="12240" w:h="15840"/>
          <w:pgMar w:top="662" w:right="950" w:bottom="662" w:left="950" w:header="720" w:footer="720" w:gutter="0"/>
          <w:cols w:space="720"/>
          <w:docGrid w:linePitch="360"/>
        </w:sectPr>
      </w:pPr>
    </w:p>
    <w:p>
      <w:pPr>
        <w:pStyle w:val="Heading1"/>
        <w:jc w:val="center"/>
      </w:pPr>
      <w:r>
        <w:t>CMK 195 Davetiye ve Yaptırım Kontrol Çizelgesi</w:t>
      </w:r>
    </w:p>
    <w:p>
      <w:r>
        <w:t>Aşağıdaki alanlar gerçek dosya kayıtlarıyla doldurulmalıdır. Çizelge, suçun CMK 195 kapsamında olduğunu veya davetiyenin eksik bulunduğunu önceden kabul etmez; iki kanuni eşiğin ayrı ayrı denetlenmesini sağlar.</w:t>
      </w:r>
    </w:p>
    <w:tbl>
      <w:tblPr>
        <w:tblStyle w:val="TableGrid"/>
        <w:tblW w:type="auto" w:w="0"/>
        <w:tblLayout w:type="fixed"/>
        <w:tblLook w:firstColumn="1" w:firstRow="1" w:lastColumn="0" w:lastRow="0" w:noHBand="0" w:noVBand="1" w:val="04A0"/>
      </w:tblPr>
      <w:tblGrid>
        <w:gridCol w:w="3447"/>
        <w:gridCol w:w="3447"/>
        <w:gridCol w:w="3447"/>
      </w:tblGrid>
      <w:tr>
        <w:trPr>
          <w:tblHeader w:val="true"/>
        </w:trPr>
        <w:tc>
          <w:tcPr>
            <w:tcW w:type="dxa" w:w="2232"/>
            <w:vAlign w:val="center"/>
            <w:tcMar>
              <w:top w:w="70" w:type="dxa"/>
              <w:start w:w="80" w:type="dxa"/>
              <w:bottom w:w="70" w:type="dxa"/>
              <w:end w:w="80" w:type="dxa"/>
            </w:tcMar>
            <w:shd w:fill="1F4E78"/>
          </w:tcPr>
          <w:p>
            <w:pPr>
              <w:jc w:val="center"/>
            </w:pPr>
            <w:r>
              <w:rPr>
                <w:rFonts w:ascii="Times New Roman" w:hAnsi="Times New Roman"/>
                <w:b/>
                <w:color w:val="FFFFFF"/>
                <w:sz w:val="16"/>
              </w:rPr>
              <w:t>Kontrol</w:t>
            </w:r>
          </w:p>
        </w:tc>
        <w:tc>
          <w:tcPr>
            <w:tcW w:type="dxa" w:w="4896"/>
            <w:vAlign w:val="center"/>
            <w:tcMar>
              <w:top w:w="70" w:type="dxa"/>
              <w:start w:w="80" w:type="dxa"/>
              <w:bottom w:w="70" w:type="dxa"/>
              <w:end w:w="80" w:type="dxa"/>
            </w:tcMar>
            <w:shd w:fill="1F4E78"/>
          </w:tcPr>
          <w:p>
            <w:pPr>
              <w:jc w:val="center"/>
            </w:pPr>
            <w:r>
              <w:rPr>
                <w:rFonts w:ascii="Times New Roman" w:hAnsi="Times New Roman"/>
                <w:b/>
                <w:color w:val="FFFFFF"/>
                <w:sz w:val="16"/>
              </w:rPr>
              <w:t>Dosyaya Yazılacak Bilgi</w:t>
            </w:r>
          </w:p>
        </w:tc>
        <w:tc>
          <w:tcPr>
            <w:tcW w:type="dxa" w:w="2808"/>
            <w:vAlign w:val="center"/>
            <w:tcMar>
              <w:top w:w="70" w:type="dxa"/>
              <w:start w:w="80" w:type="dxa"/>
              <w:bottom w:w="70" w:type="dxa"/>
              <w:end w:w="80" w:type="dxa"/>
            </w:tcMar>
            <w:shd w:fill="1F4E78"/>
          </w:tcPr>
          <w:p>
            <w:pPr>
              <w:jc w:val="center"/>
            </w:pPr>
            <w:r>
              <w:rPr>
                <w:rFonts w:ascii="Times New Roman" w:hAnsi="Times New Roman"/>
                <w:b/>
                <w:color w:val="FFFFFF"/>
                <w:sz w:val="16"/>
              </w:rPr>
              <w:t>Hukuki Amaç</w:t>
            </w:r>
          </w:p>
        </w:tc>
      </w:tr>
      <w:tr>
        <w:tc>
          <w:tcPr>
            <w:tcW w:type="dxa" w:w="2232"/>
            <w:vAlign w:val="center"/>
            <w:tcMar>
              <w:top w:w="70" w:type="dxa"/>
              <w:start w:w="80" w:type="dxa"/>
              <w:bottom w:w="70" w:type="dxa"/>
              <w:end w:w="80" w:type="dxa"/>
            </w:tcMar>
          </w:tcPr>
          <w:p>
            <w:pPr>
              <w:jc w:val="center"/>
            </w:pPr>
            <w:r>
              <w:rPr>
                <w:rFonts w:ascii="Times New Roman" w:hAnsi="Times New Roman"/>
                <w:sz w:val="15"/>
              </w:rPr>
              <w:t>İsnat</w:t>
            </w:r>
          </w:p>
        </w:tc>
        <w:tc>
          <w:tcPr>
            <w:tcW w:type="dxa" w:w="4896"/>
            <w:vAlign w:val="center"/>
            <w:tcMar>
              <w:top w:w="70" w:type="dxa"/>
              <w:start w:w="80" w:type="dxa"/>
              <w:bottom w:w="70" w:type="dxa"/>
              <w:end w:w="80" w:type="dxa"/>
            </w:tcMar>
          </w:tcPr>
          <w:p>
            <w:pPr>
              <w:jc w:val="left"/>
            </w:pPr>
            <w:r>
              <w:rPr>
                <w:rFonts w:ascii="Times New Roman" w:hAnsi="Times New Roman"/>
                <w:sz w:val="15"/>
              </w:rPr>
              <w:t>[Madde fıkra bent ve fiil]</w:t>
            </w:r>
          </w:p>
        </w:tc>
        <w:tc>
          <w:tcPr>
            <w:tcW w:type="dxa" w:w="2808"/>
            <w:vAlign w:val="center"/>
            <w:tcMar>
              <w:top w:w="70" w:type="dxa"/>
              <w:start w:w="80" w:type="dxa"/>
              <w:bottom w:w="70" w:type="dxa"/>
              <w:end w:w="80" w:type="dxa"/>
            </w:tcMar>
          </w:tcPr>
          <w:p>
            <w:pPr>
              <w:jc w:val="center"/>
            </w:pPr>
            <w:r>
              <w:rPr>
                <w:rFonts w:ascii="Times New Roman" w:hAnsi="Times New Roman"/>
                <w:sz w:val="15"/>
              </w:rPr>
              <w:t>Yaptırımın kaynağı</w:t>
            </w:r>
          </w:p>
        </w:tc>
      </w:tr>
      <w:tr>
        <w:tc>
          <w:tcPr>
            <w:tcW w:type="dxa" w:w="2232"/>
            <w:vAlign w:val="center"/>
            <w:tcMar>
              <w:top w:w="70" w:type="dxa"/>
              <w:start w:w="80" w:type="dxa"/>
              <w:bottom w:w="70" w:type="dxa"/>
              <w:end w:w="80" w:type="dxa"/>
            </w:tcMar>
            <w:shd w:fill="EAF2F8"/>
          </w:tcPr>
          <w:p>
            <w:pPr>
              <w:jc w:val="center"/>
            </w:pPr>
            <w:r>
              <w:rPr>
                <w:rFonts w:ascii="Times New Roman" w:hAnsi="Times New Roman"/>
                <w:sz w:val="15"/>
              </w:rPr>
              <w:t>Suç tarihi</w:t>
            </w:r>
          </w:p>
        </w:tc>
        <w:tc>
          <w:tcPr>
            <w:tcW w:type="dxa" w:w="4896"/>
            <w:vAlign w:val="center"/>
            <w:tcMar>
              <w:top w:w="70" w:type="dxa"/>
              <w:start w:w="80" w:type="dxa"/>
              <w:bottom w:w="70" w:type="dxa"/>
              <w:end w:w="80" w:type="dxa"/>
            </w:tcMar>
            <w:shd w:fill="EAF2F8"/>
          </w:tcPr>
          <w:p>
            <w:pPr>
              <w:jc w:val="left"/>
            </w:pPr>
            <w:r>
              <w:rPr>
                <w:rFonts w:ascii="Times New Roman" w:hAnsi="Times New Roman"/>
                <w:sz w:val="15"/>
              </w:rPr>
              <w:t>[Gerçek tarih]</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Uygulanacak kanun</w:t>
            </w:r>
          </w:p>
        </w:tc>
      </w:tr>
      <w:tr>
        <w:tc>
          <w:tcPr>
            <w:tcW w:type="dxa" w:w="2232"/>
            <w:vAlign w:val="center"/>
            <w:tcMar>
              <w:top w:w="70" w:type="dxa"/>
              <w:start w:w="80" w:type="dxa"/>
              <w:bottom w:w="70" w:type="dxa"/>
              <w:end w:w="80" w:type="dxa"/>
            </w:tcMar>
          </w:tcPr>
          <w:p>
            <w:pPr>
              <w:jc w:val="center"/>
            </w:pPr>
            <w:r>
              <w:rPr>
                <w:rFonts w:ascii="Times New Roman" w:hAnsi="Times New Roman"/>
                <w:sz w:val="15"/>
              </w:rPr>
              <w:t>Hapis seçeneği</w:t>
            </w:r>
          </w:p>
        </w:tc>
        <w:tc>
          <w:tcPr>
            <w:tcW w:type="dxa" w:w="4896"/>
            <w:vAlign w:val="center"/>
            <w:tcMar>
              <w:top w:w="70" w:type="dxa"/>
              <w:start w:w="80" w:type="dxa"/>
              <w:bottom w:w="70" w:type="dxa"/>
              <w:end w:w="80" w:type="dxa"/>
            </w:tcMar>
          </w:tcPr>
          <w:p>
            <w:pPr>
              <w:jc w:val="left"/>
            </w:pPr>
            <w:r>
              <w:rPr>
                <w:rFonts w:ascii="Times New Roman" w:hAnsi="Times New Roman"/>
                <w:sz w:val="15"/>
              </w:rPr>
              <w:t>[Var yok ve dayanak]</w:t>
            </w:r>
          </w:p>
        </w:tc>
        <w:tc>
          <w:tcPr>
            <w:tcW w:type="dxa" w:w="2808"/>
            <w:vAlign w:val="center"/>
            <w:tcMar>
              <w:top w:w="70" w:type="dxa"/>
              <w:start w:w="80" w:type="dxa"/>
              <w:bottom w:w="70" w:type="dxa"/>
              <w:end w:w="80" w:type="dxa"/>
            </w:tcMar>
          </w:tcPr>
          <w:p>
            <w:pPr>
              <w:jc w:val="center"/>
            </w:pPr>
            <w:r>
              <w:rPr>
                <w:rFonts w:ascii="Times New Roman" w:hAnsi="Times New Roman"/>
                <w:sz w:val="15"/>
              </w:rPr>
              <w:t>CMK 195 kapsamı</w:t>
            </w:r>
          </w:p>
        </w:tc>
      </w:tr>
      <w:tr>
        <w:tc>
          <w:tcPr>
            <w:tcW w:type="dxa" w:w="2232"/>
            <w:vAlign w:val="center"/>
            <w:tcMar>
              <w:top w:w="70" w:type="dxa"/>
              <w:start w:w="80" w:type="dxa"/>
              <w:bottom w:w="70" w:type="dxa"/>
              <w:end w:w="80" w:type="dxa"/>
            </w:tcMar>
            <w:shd w:fill="EAF2F8"/>
          </w:tcPr>
          <w:p>
            <w:pPr>
              <w:jc w:val="center"/>
            </w:pPr>
            <w:r>
              <w:rPr>
                <w:rFonts w:ascii="Times New Roman" w:hAnsi="Times New Roman"/>
                <w:sz w:val="15"/>
              </w:rPr>
              <w:t>Adlî para cezası</w:t>
            </w:r>
          </w:p>
        </w:tc>
        <w:tc>
          <w:tcPr>
            <w:tcW w:type="dxa" w:w="4896"/>
            <w:vAlign w:val="center"/>
            <w:tcMar>
              <w:top w:w="70" w:type="dxa"/>
              <w:start w:w="80" w:type="dxa"/>
              <w:bottom w:w="70" w:type="dxa"/>
              <w:end w:w="80" w:type="dxa"/>
            </w:tcMar>
            <w:shd w:fill="EAF2F8"/>
          </w:tcPr>
          <w:p>
            <w:pPr>
              <w:jc w:val="left"/>
            </w:pPr>
            <w:r>
              <w:rPr>
                <w:rFonts w:ascii="Times New Roman" w:hAnsi="Times New Roman"/>
                <w:sz w:val="15"/>
              </w:rPr>
              <w:t>[Doğrudan öngörülen hüküm]</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Yaptırım türü</w:t>
            </w:r>
          </w:p>
        </w:tc>
      </w:tr>
      <w:tr>
        <w:tc>
          <w:tcPr>
            <w:tcW w:type="dxa" w:w="2232"/>
            <w:vAlign w:val="center"/>
            <w:tcMar>
              <w:top w:w="70" w:type="dxa"/>
              <w:start w:w="80" w:type="dxa"/>
              <w:bottom w:w="70" w:type="dxa"/>
              <w:end w:w="80" w:type="dxa"/>
            </w:tcMar>
          </w:tcPr>
          <w:p>
            <w:pPr>
              <w:jc w:val="center"/>
            </w:pPr>
            <w:r>
              <w:rPr>
                <w:rFonts w:ascii="Times New Roman" w:hAnsi="Times New Roman"/>
                <w:sz w:val="15"/>
              </w:rPr>
              <w:t>Müsadere</w:t>
            </w:r>
          </w:p>
        </w:tc>
        <w:tc>
          <w:tcPr>
            <w:tcW w:type="dxa" w:w="4896"/>
            <w:vAlign w:val="center"/>
            <w:tcMar>
              <w:top w:w="70" w:type="dxa"/>
              <w:start w:w="80" w:type="dxa"/>
              <w:bottom w:w="70" w:type="dxa"/>
              <w:end w:w="80" w:type="dxa"/>
            </w:tcMar>
          </w:tcPr>
          <w:p>
            <w:pPr>
              <w:jc w:val="left"/>
            </w:pPr>
            <w:r>
              <w:rPr>
                <w:rFonts w:ascii="Times New Roman" w:hAnsi="Times New Roman"/>
                <w:sz w:val="15"/>
              </w:rPr>
              <w:t>[Hüküm ve eşya kazanç]</w:t>
            </w:r>
          </w:p>
        </w:tc>
        <w:tc>
          <w:tcPr>
            <w:tcW w:type="dxa" w:w="2808"/>
            <w:vAlign w:val="center"/>
            <w:tcMar>
              <w:top w:w="70" w:type="dxa"/>
              <w:start w:w="80" w:type="dxa"/>
              <w:bottom w:w="70" w:type="dxa"/>
              <w:end w:w="80" w:type="dxa"/>
            </w:tcMar>
          </w:tcPr>
          <w:p>
            <w:pPr>
              <w:jc w:val="center"/>
            </w:pPr>
            <w:r>
              <w:rPr>
                <w:rFonts w:ascii="Times New Roman" w:hAnsi="Times New Roman"/>
                <w:sz w:val="15"/>
              </w:rPr>
              <w:t>Yaptırım türü</w:t>
            </w:r>
          </w:p>
        </w:tc>
      </w:tr>
      <w:tr>
        <w:tc>
          <w:tcPr>
            <w:tcW w:type="dxa" w:w="2232"/>
            <w:vAlign w:val="center"/>
            <w:tcMar>
              <w:top w:w="70" w:type="dxa"/>
              <w:start w:w="80" w:type="dxa"/>
              <w:bottom w:w="70" w:type="dxa"/>
              <w:end w:w="80" w:type="dxa"/>
            </w:tcMar>
            <w:shd w:fill="EAF2F8"/>
          </w:tcPr>
          <w:p>
            <w:pPr>
              <w:jc w:val="center"/>
            </w:pPr>
            <w:r>
              <w:rPr>
                <w:rFonts w:ascii="Times New Roman" w:hAnsi="Times New Roman"/>
                <w:sz w:val="15"/>
              </w:rPr>
              <w:t>Davetiyenin tarihi</w:t>
            </w:r>
          </w:p>
        </w:tc>
        <w:tc>
          <w:tcPr>
            <w:tcW w:type="dxa" w:w="4896"/>
            <w:vAlign w:val="center"/>
            <w:tcMar>
              <w:top w:w="70" w:type="dxa"/>
              <w:start w:w="80" w:type="dxa"/>
              <w:bottom w:w="70" w:type="dxa"/>
              <w:end w:w="80" w:type="dxa"/>
            </w:tcMar>
            <w:shd w:fill="EAF2F8"/>
          </w:tcPr>
          <w:p>
            <w:pPr>
              <w:jc w:val="left"/>
            </w:pPr>
            <w:r>
              <w:rPr>
                <w:rFonts w:ascii="Times New Roman" w:hAnsi="Times New Roman"/>
                <w:sz w:val="15"/>
              </w:rPr>
              <w:t>[Belge tarihi ve numarası]</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Belge kimliği</w:t>
            </w:r>
          </w:p>
        </w:tc>
      </w:tr>
      <w:tr>
        <w:tc>
          <w:tcPr>
            <w:tcW w:type="dxa" w:w="2232"/>
            <w:vAlign w:val="center"/>
            <w:tcMar>
              <w:top w:w="70" w:type="dxa"/>
              <w:start w:w="80" w:type="dxa"/>
              <w:bottom w:w="70" w:type="dxa"/>
              <w:end w:w="80" w:type="dxa"/>
            </w:tcMar>
          </w:tcPr>
          <w:p>
            <w:pPr>
              <w:jc w:val="center"/>
            </w:pPr>
            <w:r>
              <w:rPr>
                <w:rFonts w:ascii="Times New Roman" w:hAnsi="Times New Roman"/>
                <w:sz w:val="15"/>
              </w:rPr>
              <w:t>İhtarın tam metni</w:t>
            </w:r>
          </w:p>
        </w:tc>
        <w:tc>
          <w:tcPr>
            <w:tcW w:type="dxa" w:w="4896"/>
            <w:vAlign w:val="center"/>
            <w:tcMar>
              <w:top w:w="70" w:type="dxa"/>
              <w:start w:w="80" w:type="dxa"/>
              <w:bottom w:w="70" w:type="dxa"/>
              <w:end w:w="80" w:type="dxa"/>
            </w:tcMar>
          </w:tcPr>
          <w:p>
            <w:pPr>
              <w:jc w:val="left"/>
            </w:pPr>
            <w:r>
              <w:rPr>
                <w:rFonts w:ascii="Times New Roman" w:hAnsi="Times New Roman"/>
                <w:sz w:val="15"/>
              </w:rPr>
              <w:t>[Cümleyi aynen yazın]</w:t>
            </w:r>
          </w:p>
        </w:tc>
        <w:tc>
          <w:tcPr>
            <w:tcW w:type="dxa" w:w="2808"/>
            <w:vAlign w:val="center"/>
            <w:tcMar>
              <w:top w:w="70" w:type="dxa"/>
              <w:start w:w="80" w:type="dxa"/>
              <w:bottom w:w="70" w:type="dxa"/>
              <w:end w:w="80" w:type="dxa"/>
            </w:tcMar>
          </w:tcPr>
          <w:p>
            <w:pPr>
              <w:jc w:val="center"/>
            </w:pPr>
            <w:r>
              <w:rPr>
                <w:rFonts w:ascii="Times New Roman" w:hAnsi="Times New Roman"/>
                <w:sz w:val="15"/>
              </w:rPr>
              <w:t>CMK 195 güvencesi</w:t>
            </w:r>
          </w:p>
        </w:tc>
      </w:tr>
      <w:tr>
        <w:tc>
          <w:tcPr>
            <w:tcW w:type="dxa" w:w="2232"/>
            <w:vAlign w:val="center"/>
            <w:tcMar>
              <w:top w:w="70" w:type="dxa"/>
              <w:start w:w="80" w:type="dxa"/>
              <w:bottom w:w="70" w:type="dxa"/>
              <w:end w:w="80" w:type="dxa"/>
            </w:tcMar>
            <w:shd w:fill="EAF2F8"/>
          </w:tcPr>
          <w:p>
            <w:pPr>
              <w:jc w:val="center"/>
            </w:pPr>
            <w:r>
              <w:rPr>
                <w:rFonts w:ascii="Times New Roman" w:hAnsi="Times New Roman"/>
                <w:sz w:val="15"/>
              </w:rPr>
              <w:t>Tebliğ tarihi</w:t>
            </w:r>
          </w:p>
        </w:tc>
        <w:tc>
          <w:tcPr>
            <w:tcW w:type="dxa" w:w="4896"/>
            <w:vAlign w:val="center"/>
            <w:tcMar>
              <w:top w:w="70" w:type="dxa"/>
              <w:start w:w="80" w:type="dxa"/>
              <w:bottom w:w="70" w:type="dxa"/>
              <w:end w:w="80" w:type="dxa"/>
            </w:tcMar>
            <w:shd w:fill="EAF2F8"/>
          </w:tcPr>
          <w:p>
            <w:pPr>
              <w:jc w:val="left"/>
            </w:pPr>
            <w:r>
              <w:rPr>
                <w:rFonts w:ascii="Times New Roman" w:hAnsi="Times New Roman"/>
                <w:sz w:val="15"/>
              </w:rPr>
              <w:t>[Mazbata veya e tebligat]</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Süre başlangıcı</w:t>
            </w:r>
          </w:p>
        </w:tc>
      </w:tr>
      <w:tr>
        <w:tc>
          <w:tcPr>
            <w:tcW w:type="dxa" w:w="2232"/>
            <w:vAlign w:val="center"/>
            <w:tcMar>
              <w:top w:w="70" w:type="dxa"/>
              <w:start w:w="80" w:type="dxa"/>
              <w:bottom w:w="70" w:type="dxa"/>
              <w:end w:w="80" w:type="dxa"/>
            </w:tcMar>
          </w:tcPr>
          <w:p>
            <w:pPr>
              <w:jc w:val="center"/>
            </w:pPr>
            <w:r>
              <w:rPr>
                <w:rFonts w:ascii="Times New Roman" w:hAnsi="Times New Roman"/>
                <w:sz w:val="15"/>
              </w:rPr>
              <w:t>Duruşma tarihi</w:t>
            </w:r>
          </w:p>
        </w:tc>
        <w:tc>
          <w:tcPr>
            <w:tcW w:type="dxa" w:w="4896"/>
            <w:vAlign w:val="center"/>
            <w:tcMar>
              <w:top w:w="70" w:type="dxa"/>
              <w:start w:w="80" w:type="dxa"/>
              <w:bottom w:w="70" w:type="dxa"/>
              <w:end w:w="80" w:type="dxa"/>
            </w:tcMar>
          </w:tcPr>
          <w:p>
            <w:pPr>
              <w:jc w:val="left"/>
            </w:pPr>
            <w:r>
              <w:rPr>
                <w:rFonts w:ascii="Times New Roman" w:hAnsi="Times New Roman"/>
                <w:sz w:val="15"/>
              </w:rPr>
              <w:t>[Gün ve saat]</w:t>
            </w:r>
          </w:p>
        </w:tc>
        <w:tc>
          <w:tcPr>
            <w:tcW w:type="dxa" w:w="2808"/>
            <w:vAlign w:val="center"/>
            <w:tcMar>
              <w:top w:w="70" w:type="dxa"/>
              <w:start w:w="80" w:type="dxa"/>
              <w:bottom w:w="70" w:type="dxa"/>
              <w:end w:w="80" w:type="dxa"/>
            </w:tcMar>
          </w:tcPr>
          <w:p>
            <w:pPr>
              <w:jc w:val="center"/>
            </w:pPr>
            <w:r>
              <w:rPr>
                <w:rFonts w:ascii="Times New Roman" w:hAnsi="Times New Roman"/>
                <w:sz w:val="15"/>
              </w:rPr>
              <w:t>CMK 176 4</w:t>
            </w:r>
          </w:p>
        </w:tc>
      </w:tr>
      <w:tr>
        <w:tc>
          <w:tcPr>
            <w:tcW w:type="dxa" w:w="2232"/>
            <w:vAlign w:val="center"/>
            <w:tcMar>
              <w:top w:w="70" w:type="dxa"/>
              <w:start w:w="80" w:type="dxa"/>
              <w:bottom w:w="70" w:type="dxa"/>
              <w:end w:w="80" w:type="dxa"/>
            </w:tcMar>
            <w:shd w:fill="EAF2F8"/>
          </w:tcPr>
          <w:p>
            <w:pPr>
              <w:jc w:val="center"/>
            </w:pPr>
            <w:r>
              <w:rPr>
                <w:rFonts w:ascii="Times New Roman" w:hAnsi="Times New Roman"/>
                <w:sz w:val="15"/>
              </w:rPr>
              <w:t>Aradaki süre</w:t>
            </w:r>
          </w:p>
        </w:tc>
        <w:tc>
          <w:tcPr>
            <w:tcW w:type="dxa" w:w="4896"/>
            <w:vAlign w:val="center"/>
            <w:tcMar>
              <w:top w:w="70" w:type="dxa"/>
              <w:start w:w="80" w:type="dxa"/>
              <w:bottom w:w="70" w:type="dxa"/>
              <w:end w:w="80" w:type="dxa"/>
            </w:tcMar>
            <w:shd w:fill="EAF2F8"/>
          </w:tcPr>
          <w:p>
            <w:pPr>
              <w:jc w:val="left"/>
            </w:pPr>
            <w:r>
              <w:rPr>
                <w:rFonts w:ascii="Times New Roman" w:hAnsi="Times New Roman"/>
                <w:sz w:val="15"/>
              </w:rPr>
              <w:t>[Gerçek gün hesabı]</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En az bir hafta</w:t>
            </w:r>
          </w:p>
        </w:tc>
      </w:tr>
      <w:tr>
        <w:tc>
          <w:tcPr>
            <w:tcW w:type="dxa" w:w="2232"/>
            <w:vAlign w:val="center"/>
            <w:tcMar>
              <w:top w:w="70" w:type="dxa"/>
              <w:start w:w="80" w:type="dxa"/>
              <w:bottom w:w="70" w:type="dxa"/>
              <w:end w:w="80" w:type="dxa"/>
            </w:tcMar>
          </w:tcPr>
          <w:p>
            <w:pPr>
              <w:jc w:val="center"/>
            </w:pPr>
            <w:r>
              <w:rPr>
                <w:rFonts w:ascii="Times New Roman" w:hAnsi="Times New Roman"/>
                <w:sz w:val="15"/>
              </w:rPr>
              <w:t>Yokluk işlemi</w:t>
            </w:r>
          </w:p>
        </w:tc>
        <w:tc>
          <w:tcPr>
            <w:tcW w:type="dxa" w:w="4896"/>
            <w:vAlign w:val="center"/>
            <w:tcMar>
              <w:top w:w="70" w:type="dxa"/>
              <w:start w:w="80" w:type="dxa"/>
              <w:bottom w:w="70" w:type="dxa"/>
              <w:end w:w="80" w:type="dxa"/>
            </w:tcMar>
          </w:tcPr>
          <w:p>
            <w:pPr>
              <w:jc w:val="left"/>
            </w:pPr>
            <w:r>
              <w:rPr>
                <w:rFonts w:ascii="Times New Roman" w:hAnsi="Times New Roman"/>
                <w:sz w:val="15"/>
              </w:rPr>
              <w:t>[Tanık rapor mütalaa hüküm]</w:t>
            </w:r>
          </w:p>
        </w:tc>
        <w:tc>
          <w:tcPr>
            <w:tcW w:type="dxa" w:w="2808"/>
            <w:vAlign w:val="center"/>
            <w:tcMar>
              <w:top w:w="70" w:type="dxa"/>
              <w:start w:w="80" w:type="dxa"/>
              <w:bottom w:w="70" w:type="dxa"/>
              <w:end w:w="80" w:type="dxa"/>
            </w:tcMar>
          </w:tcPr>
          <w:p>
            <w:pPr>
              <w:jc w:val="center"/>
            </w:pPr>
            <w:r>
              <w:rPr>
                <w:rFonts w:ascii="Times New Roman" w:hAnsi="Times New Roman"/>
                <w:sz w:val="15"/>
              </w:rPr>
              <w:t>Somut etki</w:t>
            </w:r>
          </w:p>
        </w:tc>
      </w:tr>
      <w:tr>
        <w:tc>
          <w:tcPr>
            <w:tcW w:type="dxa" w:w="2232"/>
            <w:vAlign w:val="center"/>
            <w:tcMar>
              <w:top w:w="70" w:type="dxa"/>
              <w:start w:w="80" w:type="dxa"/>
              <w:bottom w:w="70" w:type="dxa"/>
              <w:end w:w="80" w:type="dxa"/>
            </w:tcMar>
            <w:shd w:fill="EAF2F8"/>
          </w:tcPr>
          <w:p>
            <w:pPr>
              <w:jc w:val="center"/>
            </w:pPr>
            <w:r>
              <w:rPr>
                <w:rFonts w:ascii="Times New Roman" w:hAnsi="Times New Roman"/>
                <w:sz w:val="15"/>
              </w:rPr>
              <w:t>Ara karar</w:t>
            </w:r>
          </w:p>
        </w:tc>
        <w:tc>
          <w:tcPr>
            <w:tcW w:type="dxa" w:w="4896"/>
            <w:vAlign w:val="center"/>
            <w:tcMar>
              <w:top w:w="70" w:type="dxa"/>
              <w:start w:w="80" w:type="dxa"/>
              <w:bottom w:w="70" w:type="dxa"/>
              <w:end w:w="80" w:type="dxa"/>
            </w:tcMar>
            <w:shd w:fill="EAF2F8"/>
          </w:tcPr>
          <w:p>
            <w:pPr>
              <w:jc w:val="left"/>
            </w:pPr>
            <w:r>
              <w:rPr>
                <w:rFonts w:ascii="Times New Roman" w:hAnsi="Times New Roman"/>
                <w:sz w:val="15"/>
              </w:rPr>
              <w:t>[İhtar ve yaptırım gerekçesi]</w:t>
            </w:r>
          </w:p>
        </w:tc>
        <w:tc>
          <w:tcPr>
            <w:tcW w:type="dxa" w:w="2808"/>
            <w:vAlign w:val="center"/>
            <w:tcMar>
              <w:top w:w="70" w:type="dxa"/>
              <w:start w:w="80" w:type="dxa"/>
              <w:bottom w:w="70" w:type="dxa"/>
              <w:end w:w="80" w:type="dxa"/>
            </w:tcMar>
            <w:shd w:fill="EAF2F8"/>
          </w:tcPr>
          <w:p>
            <w:pPr>
              <w:jc w:val="center"/>
            </w:pPr>
            <w:r>
              <w:rPr>
                <w:rFonts w:ascii="Times New Roman" w:hAnsi="Times New Roman"/>
                <w:sz w:val="15"/>
              </w:rPr>
              <w:t>Denetlenebilirlik</w:t>
            </w:r>
          </w:p>
        </w:tc>
      </w:tr>
    </w:tbl>
    <w:p>
      <w:pPr>
        <w:pStyle w:val="Heading1"/>
      </w:pPr>
      <w:r>
        <w:t>Kullanım Notları</w:t>
      </w:r>
    </w:p>
    <w:p>
      <w:pPr>
        <w:pStyle w:val="ListBullet"/>
        <w:spacing w:after="40"/>
      </w:pPr>
      <w:r>
        <w:t>Köşeli parantezli alanlar yalnız iddianame davetiye tebligat ve duruşma tutanaklarıyla doldurulmalıdır.</w:t>
      </w:r>
    </w:p>
    <w:p>
      <w:pPr>
        <w:pStyle w:val="ListBullet"/>
        <w:spacing w:after="40"/>
      </w:pPr>
      <w:r>
        <w:t>Zorla getirme ihtarı ile sanık gelmese de duruşma yapılacağı ihtarı aynı kabul edilmemelidir.</w:t>
      </w:r>
    </w:p>
    <w:p>
      <w:pPr>
        <w:pStyle w:val="ListBullet"/>
        <w:spacing w:after="40"/>
      </w:pPr>
      <w:r>
        <w:t>Hapis cezasının sonradan adlî para cezasına çevrilebilmesi CMK 195 kapsamı gibi yazılmamalıdır.</w:t>
      </w:r>
    </w:p>
    <w:p>
      <w:pPr>
        <w:pStyle w:val="ListBullet"/>
        <w:spacing w:after="40"/>
      </w:pPr>
      <w:r>
        <w:t>Hüküm kurulmuşsa kanun yolu süresi gerçek tebliğ kaydından ayrıca hesaplanmalıdır.</w:t>
      </w:r>
    </w:p>
    <w:sectPr w:rsidR="00FC693F" w:rsidRPr="0006063C" w:rsidSect="00034616">
      <w:pgSz w:w="12240" w:h="15840"/>
      <w:pgMar w:top="662"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4" w:after="42"/>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195 Yoklukta Duruşma İhtarı Eksikliğinin Giderilmesi Talebi</dc:title>
  <dc:subject>Sanık davetiyesinde yoklukta duruşma ihtarı ve yaptırım kapsamının denetlenmesi</dc:subject>
  <dc:creator>Avukat Halil Bakırcı</dc:creator>
  <cp:keywords>CMK 195 yoklukta duruşma sanık davetiyesi ihtar dilekçe</cp:keywords>
  <dc:description>generated by python-docx</dc:description>
  <cp:lastModifiedBy/>
  <cp:revision>1</cp:revision>
  <dcterms:created xsi:type="dcterms:W3CDTF">2013-12-23T23:15:00Z</dcterms:created>
  <dcterms:modified xsi:type="dcterms:W3CDTF">2013-12-23T23:15:00Z</dcterms:modified>
  <cp:category/>
</cp:coreProperties>
</file>