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196/5 Nakledilen Sanığın Duruşmaya Getirilmemesi Talebi</w:t>
      </w:r>
    </w:p>
    <w:p>
      <w:pPr>
        <w:spacing w:after="86"/>
        <w:jc w:val="center"/>
      </w:pPr>
      <w:r>
        <w:rPr>
          <w:b/>
          <w:sz w:val="20"/>
        </w:rPr>
        <w:t>[YARGILAMAYI YÜRÜTEN CEZA MAHKEMESİNE]</w:t>
      </w:r>
    </w:p>
    <w:p>
      <w:pPr>
        <w:spacing w:after="26"/>
      </w:pPr>
      <w:r>
        <w:rPr>
          <w:b/>
        </w:rPr>
        <w:t xml:space="preserve">ESAS NO: </w:t>
      </w:r>
      <w:r>
        <w:t>[Gerçek esas numarası]</w:t>
      </w:r>
    </w:p>
    <w:p>
      <w:pPr>
        <w:spacing w:after="26"/>
      </w:pPr>
      <w:r>
        <w:rPr>
          <w:b/>
        </w:rPr>
        <w:t xml:space="preserve">SANIK: </w:t>
      </w:r>
      <w:r>
        <w:t>[Ad soyad ve bulunduğu kurum]</w:t>
      </w:r>
    </w:p>
    <w:p>
      <w:pPr>
        <w:spacing w:after="26"/>
      </w:pPr>
      <w:r>
        <w:rPr>
          <w:b/>
        </w:rPr>
        <w:t xml:space="preserve">MÜDAFİ: </w:t>
      </w:r>
      <w:r>
        <w:t>[Varsa avukat adı baro sicil numarası ve adresi]</w:t>
      </w:r>
    </w:p>
    <w:p>
      <w:pPr>
        <w:spacing w:before="40" w:after="66"/>
      </w:pPr>
      <w:r>
        <w:rPr>
          <w:b/>
        </w:rPr>
        <w:t xml:space="preserve">KONU: </w:t>
      </w:r>
      <w:r>
        <w:t>Sorgusu yapılmış sanığın hastalık, disiplin önlemi veya belgelendirilen diğer zorunlu nedenle yargılamanın yapıldığı yargı çevresi dışındaki [hastane/tutukevi]ne nakledilmiş olması nedeniyle, CMK m.196/5 uyarınca [tarih] tarihli ve hazır bulunmasına gerek görülmeyen oturum için getirilmemesine karar verilmesi talebidir.</w:t>
      </w:r>
    </w:p>
    <w:p>
      <w:pPr>
        <w:pStyle w:val="Heading1"/>
      </w:pPr>
      <w:r>
        <w:t>AÇIKLAMALAR</w:t>
      </w:r>
    </w:p>
    <w:p>
      <w:pPr>
        <w:spacing w:after="60" w:line="245" w:lineRule="auto"/>
        <w:ind w:firstLine="317"/>
      </w:pPr>
      <w:r>
        <w:rPr>
          <w:b/>
        </w:rPr>
        <w:t xml:space="preserve">1. </w:t>
      </w:r>
      <w:r>
        <w:t>Mahkemenizin yukarıda numarası yazılı dosyasında sanık hakkında [iddianamedeki fiil ve sevk maddesi] nedeniyle kovuşturma yürütülmektedir. Sanığın mahkemece sorgusu [tarih] tarihli oturumda yapılmış olup ilgili tutanak ve varsa görüntülü-sesli kayıt bilgisi dosyadadır.</w:t>
      </w:r>
    </w:p>
    <w:p>
      <w:pPr>
        <w:spacing w:after="60" w:line="245" w:lineRule="auto"/>
        <w:ind w:firstLine="317"/>
      </w:pPr>
      <w:r>
        <w:rPr>
          <w:b/>
        </w:rPr>
        <w:t xml:space="preserve">2. </w:t>
      </w:r>
      <w:r>
        <w:t>Sanık, [hastalık/disiplin önlemi/zorunlu diğer neden] nedeniyle [karar veya yazı tarihi ve numarası] uyarınca [ilk kurumdan] [yeni hastane veya tutukevine] nakledilmiştir. Yeni kurum, yargılamanın yapıldığı mahkemenin yargı çevresi dışındadır. Nakil yazısı, kabul kaydı ve güncel kurum cevabı ektedir.</w:t>
      </w:r>
    </w:p>
    <w:p>
      <w:pPr>
        <w:spacing w:after="60" w:line="245" w:lineRule="auto"/>
        <w:ind w:firstLine="317"/>
      </w:pPr>
      <w:r>
        <w:rPr>
          <w:b/>
        </w:rPr>
        <w:t xml:space="preserve">3. </w:t>
      </w:r>
      <w:r>
        <w:t>CMK m.196/5; bu nedenlerle yargı çevresi dışındaki hastane veya tutukevine nakledilen sanığın, sorgusu yapılmış olmak koşuluyla, hazır bulundurulmasına gerek görülmeyen oturumlar için getirilmemesine mahkemece karar verilebileceğini düzenlemektedir. Hüküm otomatik bir sonuç değil, somut oturum bakımından mahkeme değerlendirmesi gerektiren bir yetkidir.</w:t>
      </w:r>
    </w:p>
    <w:p>
      <w:pPr>
        <w:spacing w:after="60" w:line="245" w:lineRule="auto"/>
        <w:ind w:firstLine="317"/>
      </w:pPr>
      <w:r>
        <w:rPr>
          <w:b/>
        </w:rPr>
        <w:t xml:space="preserve">4. </w:t>
      </w:r>
      <w:r>
        <w:t>[Tarih] tarihli oturumun ara kararda açıklanan gündemi [örneğin beklenen kurum cevabının değerlendirilmesi, bilirkişi raporunun dosyaya gelişinin kontrolü veya tarafların mazeretlerinin incelenmesi] ile sınırlıdır. Bu oturumda sanığın yeniden sorgusu, yüzleştirilmesi, teşhisi, kişisel açıklaması veya bizzat katılımını gerektiren başka bir işlem planlandığı dosya kayıtlarından anlaşılmamaktadır.</w:t>
      </w:r>
    </w:p>
    <w:p>
      <w:pPr>
        <w:spacing w:after="60" w:line="245" w:lineRule="auto"/>
        <w:ind w:firstLine="317"/>
      </w:pPr>
      <w:r>
        <w:rPr>
          <w:b/>
        </w:rPr>
        <w:t xml:space="preserve">5. </w:t>
      </w:r>
      <w:r>
        <w:t>Sanığın getirilmemesine karar verilmesi yalnız belirtilen oturum içindir. Sonraki oturumlarda hazır bulunmanın gerekip gerekmediği, yapılacak işlemin niteliğine ve savunma hakkına göre yeniden değerlendirilmelidir. Talep, sanığın bütün kovuşturma boyunca kayıtsız ve şartsız yokluğunu kabul ettiği anlamına gelmez.</w:t>
      </w:r>
    </w:p>
    <w:p>
      <w:pPr>
        <w:spacing w:after="60" w:line="245" w:lineRule="auto"/>
        <w:ind w:firstLine="317"/>
      </w:pPr>
      <w:r>
        <w:rPr>
          <w:b/>
        </w:rPr>
        <w:t xml:space="preserve">6. </w:t>
      </w:r>
      <w:r>
        <w:t>Müdafi CMK m.197 uyarınca sanık hazır bulunmasa da oturumlara katılma yetkisine sahiptir. [Tarih] tarihli oturumda müdafi hazır olacak; yeni delil, tanık veya beklenmeyen bir işlem gündeme gelirse sanığın katılımı ve savunma hazırlığı için gerekli talepte bulunacaktır.</w:t>
      </w:r>
    </w:p>
    <w:p>
      <w:pPr>
        <w:spacing w:after="60" w:line="245" w:lineRule="auto"/>
        <w:ind w:firstLine="317"/>
      </w:pPr>
      <w:r>
        <w:rPr>
          <w:b/>
        </w:rPr>
        <w:t xml:space="preserve">7. </w:t>
      </w:r>
      <w:r>
        <w:t>Mahkemeniz sanığın kişisel katılımını gerekli görürse CMK m.199 uyarınca hazır bulunmasına karar verebilir. Aynı anda görüntülü ve sesli iletişim tekniğine ilişkin CMK m.196/4 koşullarının bulunduğu düşünülüyorsa, sanığın savunma hakkını etkili biçimde kullanabileceği teknik ve usuli güvenceler ayrıca değerlendirilmelidir.</w:t>
      </w:r>
    </w:p>
    <w:p>
      <w:pPr>
        <w:spacing w:after="60" w:line="245" w:lineRule="auto"/>
        <w:ind w:firstLine="317"/>
      </w:pPr>
      <w:r>
        <w:rPr>
          <w:b/>
        </w:rPr>
        <w:t xml:space="preserve">8. </w:t>
      </w:r>
      <w:r>
        <w:t>Naklin güncel olup olmadığı, sanığın hangi kurumda bulunduğu ve dönüş tarihinin belirli olup olmadığı kurumdan sorulmalıdır. Görülmemiş bir sağlık kaydı, disiplin kararı veya sevk belgesi hakkında varsayım kurulmadan, yalnız doğrulanmış kayıtlar karara esas alınmalıdır.</w:t>
      </w:r>
    </w:p>
    <w:p>
      <w:pPr>
        <w:spacing w:after="60" w:line="245" w:lineRule="auto"/>
        <w:ind w:firstLine="317"/>
      </w:pPr>
      <w:r>
        <w:rPr>
          <w:b/>
        </w:rPr>
        <w:t xml:space="preserve">9. </w:t>
      </w:r>
      <w:r>
        <w:t>Kararın gerekçesinde sorgu tutanağının tarihi, naklin nedeni ve belgesi, kurumun yargı çevresi dışında oluşu ile söz konusu oturumda sanığın hazır bulunmasına neden gerek görülmediği ayrı ayrı gösterilmelidir. Böylece kararın kapsamı ve sonraki oturumlar bakımından etkisi denetlenebilir olacaktır.</w:t>
      </w:r>
    </w:p>
    <w:p>
      <w:pPr>
        <w:spacing w:before="46"/>
      </w:pPr>
      <w:r>
        <w:rPr>
          <w:b/>
        </w:rPr>
        <w:t xml:space="preserve">HUKUKİ NEDENLER: </w:t>
      </w:r>
      <w:r>
        <w:t>5271 sayılı CMK m.33-35, 193, 196/4-5, 197-199, 201, 206, 209, 215-216, 219-222, 230, 232 ve ilgili hükümler.</w:t>
      </w:r>
    </w:p>
    <w:p>
      <w:r>
        <w:rPr>
          <w:b/>
        </w:rPr>
        <w:t xml:space="preserve">DELİLLER VE EKLER: </w:t>
      </w:r>
      <w:r>
        <w:t>Sorgu ve duruşma tutanakları, nakil veya sevk kararı, hastane kabul ve yatış kaydı yahut tutukevi nakil yazısı, kurum cevabı, oturum gündemini gösteren ara karar, UYAP evrak kayıtları, müdafi yetki belgesi ve yalnız dosyada bulunan diğer gerçek belgeler.</w:t>
      </w:r>
    </w:p>
    <w:p>
      <w:pPr>
        <w:spacing w:before="46" w:after="56"/>
      </w:pPr>
      <w:r>
        <w:rPr>
          <w:b/>
        </w:rPr>
        <w:t xml:space="preserve">SONUÇ VE İSTEM: </w:t>
      </w:r>
      <w:r>
        <w:t>Açıklanan nedenlerle; (1) sanığın sorgusunun yapıldığı tutanağın ve güncel nakil/kabul kayıtlarının dosyada doğrulanmasına, (2) [tarih] tarihli oturumda yapılacak işlemler belirlenerek sanığın hazır bulunmasının gerekip gerekmediğinin somut biçimde değerlendirilmesine, (3) şartların karşılandığı kanaatinde CMK m.196/5 uyarınca yalnız bu oturum için sanığın getirilmemesine, (4) müdafiin oturuma katılımının ve sanığa bildirilmesi gereken karar ve işlemlerin usulüne uygun yürütülmesine, (5) sanığın kişisel katılımını gerektiren yeni bir işlem ortaya çıkarsa katılım yönteminin yeniden karara bağlanmasına karar verilmesini saygıyla talep ederim. [Tarih]</w:t>
      </w:r>
    </w:p>
    <w:p>
      <w:pPr>
        <w:jc w:val="right"/>
      </w:pPr>
      <w:r>
        <w:rPr>
          <w:b/>
        </w:rPr>
        <w:t>Sanık veya müdafi</w:t>
        <w:br/>
      </w:r>
      <w:r>
        <w:t>[Ad soyad ve imza]</w:t>
      </w:r>
    </w:p>
    <w:p>
      <w:pPr>
        <w:sectPr>
          <w:footerReference w:type="default" r:id="rId9"/>
          <w:pgSz w:w="12240" w:h="15840"/>
          <w:pgMar w:top="662" w:right="950" w:bottom="662" w:left="950" w:header="720" w:footer="720" w:gutter="0"/>
          <w:cols w:space="720"/>
          <w:docGrid w:linePitch="360"/>
        </w:sectPr>
      </w:pPr>
    </w:p>
    <w:p>
      <w:pPr>
        <w:pStyle w:val="Heading1"/>
        <w:jc w:val="center"/>
      </w:pPr>
      <w:r>
        <w:t>CMK 196/5 Oturum ve Nakil Kontrol Çizelgesi</w:t>
      </w:r>
    </w:p>
    <w:p>
      <w:r>
        <w:t>Bu çizelge, kanuni şartların gerçek dosya kayıtlarıyla ayrı ayrı gösterilmesi için hazırlanmıştır. Nakil belgesi tek başına getirmeme kararı oluşturmaz; sorgu ve oturumun niteliği de incelenir.</w:t>
      </w:r>
    </w:p>
    <w:tbl>
      <w:tblPr>
        <w:tblStyle w:val="TableGrid"/>
        <w:tblW w:type="auto" w:w="0"/>
        <w:tblLayout w:type="fixed"/>
        <w:tblLook w:firstColumn="1" w:firstRow="1" w:lastColumn="0" w:lastRow="0" w:noHBand="0" w:noVBand="1" w:val="04A0"/>
      </w:tblPr>
      <w:tblGrid>
        <w:gridCol w:w="3447"/>
        <w:gridCol w:w="3447"/>
        <w:gridCol w:w="3447"/>
      </w:tblGrid>
      <w:tr>
        <w:trPr>
          <w:tblHeader w:val="true"/>
        </w:trPr>
        <w:tc>
          <w:tcPr>
            <w:tcW w:type="dxa" w:w="2160"/>
            <w:vAlign w:val="center"/>
            <w:tcMar>
              <w:top w:w="70" w:type="dxa"/>
              <w:start w:w="80" w:type="dxa"/>
              <w:bottom w:w="70" w:type="dxa"/>
              <w:end w:w="80" w:type="dxa"/>
            </w:tcMar>
            <w:shd w:fill="1F4E78"/>
          </w:tcPr>
          <w:p>
            <w:pPr>
              <w:jc w:val="center"/>
            </w:pPr>
            <w:r>
              <w:rPr>
                <w:rFonts w:ascii="Times New Roman" w:hAnsi="Times New Roman"/>
                <w:b/>
                <w:color w:val="FFFFFF"/>
                <w:sz w:val="16"/>
              </w:rPr>
              <w:t>Kontrol</w:t>
            </w:r>
          </w:p>
        </w:tc>
        <w:tc>
          <w:tcPr>
            <w:tcW w:type="dxa" w:w="5112"/>
            <w:vAlign w:val="center"/>
            <w:tcMar>
              <w:top w:w="70" w:type="dxa"/>
              <w:start w:w="80" w:type="dxa"/>
              <w:bottom w:w="70" w:type="dxa"/>
              <w:end w:w="80" w:type="dxa"/>
            </w:tcMar>
            <w:shd w:fill="1F4E78"/>
          </w:tcPr>
          <w:p>
            <w:pPr>
              <w:jc w:val="center"/>
            </w:pPr>
            <w:r>
              <w:rPr>
                <w:rFonts w:ascii="Times New Roman" w:hAnsi="Times New Roman"/>
                <w:b/>
                <w:color w:val="FFFFFF"/>
                <w:sz w:val="16"/>
              </w:rPr>
              <w:t>Dosyaya Yazılacak Bilgi</w:t>
            </w:r>
          </w:p>
        </w:tc>
        <w:tc>
          <w:tcPr>
            <w:tcW w:type="dxa" w:w="2664"/>
            <w:vAlign w:val="center"/>
            <w:tcMar>
              <w:top w:w="70" w:type="dxa"/>
              <w:start w:w="80" w:type="dxa"/>
              <w:bottom w:w="70" w:type="dxa"/>
              <w:end w:w="80" w:type="dxa"/>
            </w:tcMar>
            <w:shd w:fill="1F4E78"/>
          </w:tcPr>
          <w:p>
            <w:pPr>
              <w:jc w:val="center"/>
            </w:pPr>
            <w:r>
              <w:rPr>
                <w:rFonts w:ascii="Times New Roman" w:hAnsi="Times New Roman"/>
                <w:b/>
                <w:color w:val="FFFFFF"/>
                <w:sz w:val="16"/>
              </w:rPr>
              <w:t>Hukuki Amaç</w:t>
            </w:r>
          </w:p>
        </w:tc>
      </w:tr>
      <w:tr>
        <w:tc>
          <w:tcPr>
            <w:tcW w:type="dxa" w:w="2160"/>
            <w:vAlign w:val="center"/>
            <w:tcMar>
              <w:top w:w="70" w:type="dxa"/>
              <w:start w:w="80" w:type="dxa"/>
              <w:bottom w:w="70" w:type="dxa"/>
              <w:end w:w="80" w:type="dxa"/>
            </w:tcMar>
          </w:tcPr>
          <w:p>
            <w:pPr>
              <w:jc w:val="center"/>
            </w:pPr>
            <w:r>
              <w:rPr>
                <w:rFonts w:ascii="Times New Roman" w:hAnsi="Times New Roman"/>
                <w:sz w:val="15"/>
              </w:rPr>
              <w:t>Sorgu</w:t>
            </w:r>
          </w:p>
        </w:tc>
        <w:tc>
          <w:tcPr>
            <w:tcW w:type="dxa" w:w="5112"/>
            <w:vAlign w:val="center"/>
            <w:tcMar>
              <w:top w:w="70" w:type="dxa"/>
              <w:start w:w="80" w:type="dxa"/>
              <w:bottom w:w="70" w:type="dxa"/>
              <w:end w:w="80" w:type="dxa"/>
            </w:tcMar>
          </w:tcPr>
          <w:p>
            <w:pPr>
              <w:jc w:val="left"/>
            </w:pPr>
            <w:r>
              <w:rPr>
                <w:rFonts w:ascii="Times New Roman" w:hAnsi="Times New Roman"/>
                <w:sz w:val="15"/>
              </w:rPr>
              <w:t>[Tarih tutanak sayfası yöntem]</w:t>
            </w:r>
          </w:p>
        </w:tc>
        <w:tc>
          <w:tcPr>
            <w:tcW w:type="dxa" w:w="2664"/>
            <w:vAlign w:val="center"/>
            <w:tcMar>
              <w:top w:w="70" w:type="dxa"/>
              <w:start w:w="80" w:type="dxa"/>
              <w:bottom w:w="70" w:type="dxa"/>
              <w:end w:w="80" w:type="dxa"/>
            </w:tcMar>
          </w:tcPr>
          <w:p>
            <w:pPr>
              <w:jc w:val="center"/>
            </w:pPr>
            <w:r>
              <w:rPr>
                <w:rFonts w:ascii="Times New Roman" w:hAnsi="Times New Roman"/>
                <w:sz w:val="15"/>
              </w:rPr>
              <w:t>Ön koşul</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Nakil nedeni</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[Hastalık disiplin zorunlu neden]</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CMK 196/5</w:t>
            </w:r>
          </w:p>
        </w:tc>
      </w:tr>
      <w:tr>
        <w:tc>
          <w:tcPr>
            <w:tcW w:type="dxa" w:w="2160"/>
            <w:vAlign w:val="center"/>
            <w:tcMar>
              <w:top w:w="70" w:type="dxa"/>
              <w:start w:w="80" w:type="dxa"/>
              <w:bottom w:w="70" w:type="dxa"/>
              <w:end w:w="80" w:type="dxa"/>
            </w:tcMar>
          </w:tcPr>
          <w:p>
            <w:pPr>
              <w:jc w:val="center"/>
            </w:pPr>
            <w:r>
              <w:rPr>
                <w:rFonts w:ascii="Times New Roman" w:hAnsi="Times New Roman"/>
                <w:sz w:val="15"/>
              </w:rPr>
              <w:t>Nakil belgesi</w:t>
            </w:r>
          </w:p>
        </w:tc>
        <w:tc>
          <w:tcPr>
            <w:tcW w:type="dxa" w:w="5112"/>
            <w:vAlign w:val="center"/>
            <w:tcMar>
              <w:top w:w="70" w:type="dxa"/>
              <w:start w:w="80" w:type="dxa"/>
              <w:bottom w:w="70" w:type="dxa"/>
              <w:end w:w="80" w:type="dxa"/>
            </w:tcMar>
          </w:tcPr>
          <w:p>
            <w:pPr>
              <w:jc w:val="left"/>
            </w:pPr>
            <w:r>
              <w:rPr>
                <w:rFonts w:ascii="Times New Roman" w:hAnsi="Times New Roman"/>
                <w:sz w:val="15"/>
              </w:rPr>
              <w:t>[Tarih sayı düzenleyen kurum]</w:t>
            </w:r>
          </w:p>
        </w:tc>
        <w:tc>
          <w:tcPr>
            <w:tcW w:type="dxa" w:w="2664"/>
            <w:vAlign w:val="center"/>
            <w:tcMar>
              <w:top w:w="70" w:type="dxa"/>
              <w:start w:w="80" w:type="dxa"/>
              <w:bottom w:w="70" w:type="dxa"/>
              <w:end w:w="80" w:type="dxa"/>
            </w:tcMar>
          </w:tcPr>
          <w:p>
            <w:pPr>
              <w:jc w:val="center"/>
            </w:pPr>
            <w:r>
              <w:rPr>
                <w:rFonts w:ascii="Times New Roman" w:hAnsi="Times New Roman"/>
                <w:sz w:val="15"/>
              </w:rPr>
              <w:t>Gerçek kayıt</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Yeni kurum</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[Hastane veya tutukevi tam adı]</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Kanuni yer</w:t>
            </w:r>
          </w:p>
        </w:tc>
      </w:tr>
      <w:tr>
        <w:tc>
          <w:tcPr>
            <w:tcW w:type="dxa" w:w="2160"/>
            <w:vAlign w:val="center"/>
            <w:tcMar>
              <w:top w:w="70" w:type="dxa"/>
              <w:start w:w="80" w:type="dxa"/>
              <w:bottom w:w="70" w:type="dxa"/>
              <w:end w:w="80" w:type="dxa"/>
            </w:tcMar>
          </w:tcPr>
          <w:p>
            <w:pPr>
              <w:jc w:val="center"/>
            </w:pPr>
            <w:r>
              <w:rPr>
                <w:rFonts w:ascii="Times New Roman" w:hAnsi="Times New Roman"/>
                <w:sz w:val="15"/>
              </w:rPr>
              <w:t>Yargı çevresi</w:t>
            </w:r>
          </w:p>
        </w:tc>
        <w:tc>
          <w:tcPr>
            <w:tcW w:type="dxa" w:w="5112"/>
            <w:vAlign w:val="center"/>
            <w:tcMar>
              <w:top w:w="70" w:type="dxa"/>
              <w:start w:w="80" w:type="dxa"/>
              <w:bottom w:w="70" w:type="dxa"/>
              <w:end w:w="80" w:type="dxa"/>
            </w:tcMar>
          </w:tcPr>
          <w:p>
            <w:pPr>
              <w:jc w:val="left"/>
            </w:pPr>
            <w:r>
              <w:rPr>
                <w:rFonts w:ascii="Times New Roman" w:hAnsi="Times New Roman"/>
                <w:sz w:val="15"/>
              </w:rPr>
              <w:t>[Mahkeme ve kurum karşılaştırması]</w:t>
            </w:r>
          </w:p>
        </w:tc>
        <w:tc>
          <w:tcPr>
            <w:tcW w:type="dxa" w:w="2664"/>
            <w:vAlign w:val="center"/>
            <w:tcMar>
              <w:top w:w="70" w:type="dxa"/>
              <w:start w:w="80" w:type="dxa"/>
              <w:bottom w:w="70" w:type="dxa"/>
              <w:end w:w="80" w:type="dxa"/>
            </w:tcMar>
          </w:tcPr>
          <w:p>
            <w:pPr>
              <w:jc w:val="center"/>
            </w:pPr>
            <w:r>
              <w:rPr>
                <w:rFonts w:ascii="Times New Roman" w:hAnsi="Times New Roman"/>
                <w:sz w:val="15"/>
              </w:rPr>
              <w:t>Dış çevre şartı</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Kabul kaydı</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[Kabul tarihi ve güncel durum]</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Naklin devamı</w:t>
            </w:r>
          </w:p>
        </w:tc>
      </w:tr>
      <w:tr>
        <w:tc>
          <w:tcPr>
            <w:tcW w:type="dxa" w:w="2160"/>
            <w:vAlign w:val="center"/>
            <w:tcMar>
              <w:top w:w="70" w:type="dxa"/>
              <w:start w:w="80" w:type="dxa"/>
              <w:bottom w:w="70" w:type="dxa"/>
              <w:end w:w="80" w:type="dxa"/>
            </w:tcMar>
          </w:tcPr>
          <w:p>
            <w:pPr>
              <w:jc w:val="center"/>
            </w:pPr>
            <w:r>
              <w:rPr>
                <w:rFonts w:ascii="Times New Roman" w:hAnsi="Times New Roman"/>
                <w:sz w:val="15"/>
              </w:rPr>
              <w:t>Oturum tarihi</w:t>
            </w:r>
          </w:p>
        </w:tc>
        <w:tc>
          <w:tcPr>
            <w:tcW w:type="dxa" w:w="5112"/>
            <w:vAlign w:val="center"/>
            <w:tcMar>
              <w:top w:w="70" w:type="dxa"/>
              <w:start w:w="80" w:type="dxa"/>
              <w:bottom w:w="70" w:type="dxa"/>
              <w:end w:w="80" w:type="dxa"/>
            </w:tcMar>
          </w:tcPr>
          <w:p>
            <w:pPr>
              <w:jc w:val="left"/>
            </w:pPr>
            <w:r>
              <w:rPr>
                <w:rFonts w:ascii="Times New Roman" w:hAnsi="Times New Roman"/>
                <w:sz w:val="15"/>
              </w:rPr>
              <w:t>[Gün saat]</w:t>
            </w:r>
          </w:p>
        </w:tc>
        <w:tc>
          <w:tcPr>
            <w:tcW w:type="dxa" w:w="2664"/>
            <w:vAlign w:val="center"/>
            <w:tcMar>
              <w:top w:w="70" w:type="dxa"/>
              <w:start w:w="80" w:type="dxa"/>
              <w:bottom w:w="70" w:type="dxa"/>
              <w:end w:w="80" w:type="dxa"/>
            </w:tcMar>
          </w:tcPr>
          <w:p>
            <w:pPr>
              <w:jc w:val="center"/>
            </w:pPr>
            <w:r>
              <w:rPr>
                <w:rFonts w:ascii="Times New Roman" w:hAnsi="Times New Roman"/>
                <w:sz w:val="15"/>
              </w:rPr>
              <w:t>Kararın kapsamı</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Oturum gündemi</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[Planlanan işlem]</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Gereklilik testi</w:t>
            </w:r>
          </w:p>
        </w:tc>
      </w:tr>
      <w:tr>
        <w:tc>
          <w:tcPr>
            <w:tcW w:type="dxa" w:w="2160"/>
            <w:vAlign w:val="center"/>
            <w:tcMar>
              <w:top w:w="70" w:type="dxa"/>
              <w:start w:w="80" w:type="dxa"/>
              <w:bottom w:w="70" w:type="dxa"/>
              <w:end w:w="80" w:type="dxa"/>
            </w:tcMar>
          </w:tcPr>
          <w:p>
            <w:pPr>
              <w:jc w:val="center"/>
            </w:pPr>
            <w:r>
              <w:rPr>
                <w:rFonts w:ascii="Times New Roman" w:hAnsi="Times New Roman"/>
                <w:sz w:val="15"/>
              </w:rPr>
              <w:t>Kişisel işlem</w:t>
            </w:r>
          </w:p>
        </w:tc>
        <w:tc>
          <w:tcPr>
            <w:tcW w:type="dxa" w:w="5112"/>
            <w:vAlign w:val="center"/>
            <w:tcMar>
              <w:top w:w="70" w:type="dxa"/>
              <w:start w:w="80" w:type="dxa"/>
              <w:bottom w:w="70" w:type="dxa"/>
              <w:end w:w="80" w:type="dxa"/>
            </w:tcMar>
          </w:tcPr>
          <w:p>
            <w:pPr>
              <w:jc w:val="left"/>
            </w:pPr>
            <w:r>
              <w:rPr>
                <w:rFonts w:ascii="Times New Roman" w:hAnsi="Times New Roman"/>
                <w:sz w:val="15"/>
              </w:rPr>
              <w:t>[Sorgu yüzleştirme açıklama var mı]</w:t>
            </w:r>
          </w:p>
        </w:tc>
        <w:tc>
          <w:tcPr>
            <w:tcW w:type="dxa" w:w="2664"/>
            <w:vAlign w:val="center"/>
            <w:tcMar>
              <w:top w:w="70" w:type="dxa"/>
              <w:start w:w="80" w:type="dxa"/>
              <w:bottom w:w="70" w:type="dxa"/>
              <w:end w:w="80" w:type="dxa"/>
            </w:tcMar>
          </w:tcPr>
          <w:p>
            <w:pPr>
              <w:jc w:val="center"/>
            </w:pPr>
            <w:r>
              <w:rPr>
                <w:rFonts w:ascii="Times New Roman" w:hAnsi="Times New Roman"/>
                <w:sz w:val="15"/>
              </w:rPr>
              <w:t>Hazır bulunma</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Müdafi</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[Katılım ve iletişim planı]</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CMK 197</w:t>
            </w:r>
          </w:p>
        </w:tc>
      </w:tr>
      <w:tr>
        <w:tc>
          <w:tcPr>
            <w:tcW w:type="dxa" w:w="2160"/>
            <w:vAlign w:val="center"/>
            <w:tcMar>
              <w:top w:w="70" w:type="dxa"/>
              <w:start w:w="80" w:type="dxa"/>
              <w:bottom w:w="70" w:type="dxa"/>
              <w:end w:w="80" w:type="dxa"/>
            </w:tcMar>
          </w:tcPr>
          <w:p>
            <w:pPr>
              <w:jc w:val="center"/>
            </w:pPr>
            <w:r>
              <w:rPr>
                <w:rFonts w:ascii="Times New Roman" w:hAnsi="Times New Roman"/>
                <w:sz w:val="15"/>
              </w:rPr>
              <w:t>Uzaktan katılım</w:t>
            </w:r>
          </w:p>
        </w:tc>
        <w:tc>
          <w:tcPr>
            <w:tcW w:type="dxa" w:w="5112"/>
            <w:vAlign w:val="center"/>
            <w:tcMar>
              <w:top w:w="70" w:type="dxa"/>
              <w:start w:w="80" w:type="dxa"/>
              <w:bottom w:w="70" w:type="dxa"/>
              <w:end w:w="80" w:type="dxa"/>
            </w:tcMar>
          </w:tcPr>
          <w:p>
            <w:pPr>
              <w:jc w:val="left"/>
            </w:pPr>
            <w:r>
              <w:rPr>
                <w:rFonts w:ascii="Times New Roman" w:hAnsi="Times New Roman"/>
                <w:sz w:val="15"/>
              </w:rPr>
              <w:t>[Karar teknik koşul savunma imkânı]</w:t>
            </w:r>
          </w:p>
        </w:tc>
        <w:tc>
          <w:tcPr>
            <w:tcW w:type="dxa" w:w="2664"/>
            <w:vAlign w:val="center"/>
            <w:tcMar>
              <w:top w:w="70" w:type="dxa"/>
              <w:start w:w="80" w:type="dxa"/>
              <w:bottom w:w="70" w:type="dxa"/>
              <w:end w:w="80" w:type="dxa"/>
            </w:tcMar>
          </w:tcPr>
          <w:p>
            <w:pPr>
              <w:jc w:val="center"/>
            </w:pPr>
            <w:r>
              <w:rPr>
                <w:rFonts w:ascii="Times New Roman" w:hAnsi="Times New Roman"/>
                <w:sz w:val="15"/>
              </w:rPr>
              <w:t>CMK 196/4</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Ara karar</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[Dört şartın gerekçesi]</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Denetlenebilirlik</w:t>
            </w:r>
          </w:p>
        </w:tc>
      </w:tr>
    </w:tbl>
    <w:p>
      <w:pPr>
        <w:pStyle w:val="Heading1"/>
      </w:pPr>
      <w:r>
        <w:t>Kullanım Notları</w:t>
      </w:r>
    </w:p>
    <w:p>
      <w:pPr>
        <w:pStyle w:val="ListBullet"/>
        <w:spacing w:after="40"/>
      </w:pPr>
      <w:r>
        <w:t>Köşeli parantezli alanlar yalnız sorgu tutanağı nakil yazısı kurum cevabı ve ara kararla doldurulmalıdır.</w:t>
      </w:r>
    </w:p>
    <w:p>
      <w:pPr>
        <w:pStyle w:val="ListBullet"/>
        <w:spacing w:after="40"/>
      </w:pPr>
      <w:r>
        <w:t>Talep belirli oturuma özgülenmeli bütün kovuşturma için sınırsız yokluk sonucu yazılmamalıdır.</w:t>
      </w:r>
    </w:p>
    <w:p>
      <w:pPr>
        <w:pStyle w:val="ListBullet"/>
        <w:spacing w:after="40"/>
      </w:pPr>
      <w:r>
        <w:t>Sanığın yargı çevresi dışındaki kurumda bulunduğu güncel kayıtla doğrulanmalıdır.</w:t>
      </w:r>
    </w:p>
    <w:p>
      <w:pPr>
        <w:pStyle w:val="ListBullet"/>
        <w:spacing w:after="40"/>
      </w:pPr>
      <w:r>
        <w:t>Kişisel katılımı gerektiren yeni işlem ortaya çıkarsa önceki getirmeme kararı otomatik uygulanmamalıdır.</w:t>
      </w:r>
    </w:p>
    <w:sectPr w:rsidR="00FC693F" w:rsidRPr="0006063C" w:rsidSect="00034616">
      <w:footerReference w:type="default" r:id="rId10"/>
      <w:pgSz w:w="12240" w:h="15840"/>
      <w:pgMar w:top="662" w:right="950" w:bottom="662"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dosya belgelerine uyarlanmalıdır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dosya belgelerine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0"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4" w:after="42"/>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196/5 Nakledilen Sanığın Duruşmaya Getirilmemesi Dilekçesi</dc:title>
  <dc:subject>Ceza muhakemesi dilekçe örneği</dc:subject>
  <dc:creator>Av. Halil Bakırcı</dc:creator>
  <cp:keywords>CMK 196/5, sanığın duruşmaya getirilmemesi, hastane, tutukevi, nakil</cp:keywords>
  <dc:description>generated by python-docx</dc:description>
  <cp:lastModifiedBy/>
  <cp:revision>1</cp:revision>
  <dcterms:created xsi:type="dcterms:W3CDTF">2013-12-23T23:15:00Z</dcterms:created>
  <dcterms:modified xsi:type="dcterms:W3CDTF">2013-12-23T23:15:00Z</dcterms:modified>
  <cp:category/>
</cp:coreProperties>
</file>