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200/2 Sanığa Tutanakların Okunması ve İçeriğinin Anlatılması Talebi</w:t>
      </w:r>
    </w:p>
    <w:p>
      <w:pPr>
        <w:spacing w:after="86"/>
        <w:jc w:val="center"/>
      </w:pPr>
      <w:r>
        <w:rPr>
          <w:b/>
          <w:sz w:val="20"/>
        </w:rPr>
        <w:t>[YARGILAMAYI YÜRÜTEN CEZA MAHKEMESİNE]</w:t>
      </w:r>
    </w:p>
    <w:p>
      <w:pPr>
        <w:spacing w:after="26"/>
      </w:pPr>
      <w:r>
        <w:rPr>
          <w:b/>
        </w:rPr>
        <w:t xml:space="preserve">ESAS NO: </w:t>
      </w:r>
      <w:r>
        <w:t>[Gerçek esas numarası]</w:t>
      </w:r>
    </w:p>
    <w:p>
      <w:pPr>
        <w:spacing w:after="26"/>
      </w:pPr>
      <w:r>
        <w:rPr>
          <w:b/>
        </w:rPr>
        <w:t xml:space="preserve">SANIK: </w:t>
      </w:r>
      <w:r>
        <w:t>[Ad soyad]</w:t>
      </w:r>
    </w:p>
    <w:p>
      <w:pPr>
        <w:spacing w:after="26"/>
      </w:pPr>
      <w:r>
        <w:rPr>
          <w:b/>
        </w:rPr>
        <w:t xml:space="preserve">MÜDAFİ: </w:t>
      </w:r>
      <w:r>
        <w:t>[Varsa avukat adı, baro sicil numarası ve adresi]</w:t>
      </w:r>
    </w:p>
    <w:p>
      <w:pPr>
        <w:spacing w:before="40" w:after="66"/>
      </w:pPr>
      <w:r>
        <w:rPr>
          <w:b/>
        </w:rPr>
        <w:t xml:space="preserve">KONU: </w:t>
      </w:r>
      <w:r>
        <w:t>CMK m.200/1 uyarınca [diğer sanığın sorgusu/tanığın dinlenmesi] sırasında geçici olarak duruşma salonundan çıkarılan sanığın geri getirilmesi üzerine, yokluğunda düzenlenen tutanakların CMK m.200/2 gereğince okunması, gerektiğinde içeriğinin açıklanması, sanık ve müdafiin beyanları ile tamamlayıcı taleplerinin tutanağa geçirilmesi istemidir.</w:t>
      </w:r>
    </w:p>
    <w:p>
      <w:pPr>
        <w:pStyle w:val="Heading1"/>
      </w:pPr>
      <w:r>
        <w:t>AÇIKLAMALAR</w:t>
      </w:r>
    </w:p>
    <w:p>
      <w:pPr>
        <w:spacing w:after="60" w:line="245" w:lineRule="auto"/>
        <w:ind w:firstLine="317"/>
      </w:pPr>
      <w:r>
        <w:rPr>
          <w:b/>
        </w:rPr>
        <w:t xml:space="preserve">1. </w:t>
      </w:r>
      <w:r>
        <w:t>Mahkemenizin yukarıda numarası yazılı dosyasında sanık hakkında [iddianamedeki fiil ve sevk maddesi] nedeniyle kovuşturma yürütülmektedir. [Tarih] tarihli oturumda [kişinin adı ve sıfatı] dinlenirken sanığın hazır bulunmasının gerçeğin söylenmesini engelleyebileceği değerlendirilerek salon dışına çıkarılmasına karar verilmiştir. Talep yalnız gerçek duruşma tutanağı ve dosyadaki kayıtlara göre uyarlanacaktır.</w:t>
      </w:r>
    </w:p>
    <w:p>
      <w:pPr>
        <w:spacing w:after="60" w:line="245" w:lineRule="auto"/>
        <w:ind w:firstLine="317"/>
      </w:pPr>
      <w:r>
        <w:rPr>
          <w:b/>
        </w:rPr>
        <w:t xml:space="preserve">2. </w:t>
      </w:r>
      <w:r>
        <w:t>CMK m.200/1, birlikte suçlanan sanıklardan birinin veya bir tanığın sanığın yüzüne karşı gerçeği söylemeyeceğinden endişe edilmesi hâlinde, mahkemenin sorgu ya da dinleme sırasında o sanığı geçici olarak salondan çıkarabilmesine imkân tanır. Bu işlem, CMK m.204 kapsamındaki duruşma düzenini bozan sanığın çıkarılmasından farklıdır; kararın kanuni nedeni ve kapsadığı işlem açıkça kayda geçirilmelidir.</w:t>
      </w:r>
    </w:p>
    <w:p>
      <w:pPr>
        <w:spacing w:after="60" w:line="245" w:lineRule="auto"/>
        <w:ind w:firstLine="317"/>
      </w:pPr>
      <w:r>
        <w:rPr>
          <w:b/>
        </w:rPr>
        <w:t xml:space="preserve">3. </w:t>
      </w:r>
      <w:r>
        <w:t>CMK m.200/2 uyarınca sanık tekrar getirildiğinde yokluğunda düzenlenen tutanaklar okunur ve gerektiğinde içeriği anlatılır. Okuma yükümlülüğü açık kanun hükmüdür. Tutanak teknik, hacimli veya anlaşılması güçse; hangi beyanın kim tarafından verildiği, hangi soruların sorulduğu, hangi belgelerin gösterildiği ve hangi ara kararların alındığı sanığın etkili biçimde anlayabileceği açıklıkta anlatılmalıdır.</w:t>
      </w:r>
    </w:p>
    <w:p>
      <w:pPr>
        <w:spacing w:after="60" w:line="245" w:lineRule="auto"/>
        <w:ind w:firstLine="317"/>
      </w:pPr>
      <w:r>
        <w:rPr>
          <w:b/>
        </w:rPr>
        <w:t xml:space="preserve">4. </w:t>
      </w:r>
      <w:r>
        <w:t>[Tarih] tarihli tutanakta sanığın dışarı çıkarıldığı ve geri getirildiği saatler, yokluğunda alınan beyanın tamamı, soru-cevaplar, belge ibrazları, itirazlar ve ara kararlar ayrı ayrı belirlenmelidir. Yalnız 'bilgi verildi' veya 'okundu' biçimindeki soyut bir ibare, hangi tutanak bölümünün sanığa aktarıldığını denetlenebilir kılmıyorsa eksikliğin giderilmesi istenmektedir.</w:t>
      </w:r>
    </w:p>
    <w:p>
      <w:pPr>
        <w:spacing w:after="60" w:line="245" w:lineRule="auto"/>
        <w:ind w:firstLine="317"/>
      </w:pPr>
      <w:r>
        <w:rPr>
          <w:b/>
        </w:rPr>
        <w:t xml:space="preserve">5. </w:t>
      </w:r>
      <w:r>
        <w:t>Sanığın geri getirilmesinden sonra tutanak okunduğunda, beyana karşı doğrudan açıklaması alınmalı; müdafiin hukuki itiraz ve talepleri de zapta geçirilmelidir. CMK m.215, delilin dinlenmesi veya okunmasından sonra sanığa ne diyeceğinin sorulmasını öngörür. Bu nedenle sanığın yalnız fiziksel olarak salona alınmasıyla yetinilmeyip gerçek bir cevap ve savunma imkânı sağlanmalıdır.</w:t>
      </w:r>
    </w:p>
    <w:p>
      <w:pPr>
        <w:spacing w:after="60" w:line="245" w:lineRule="auto"/>
        <w:ind w:firstLine="317"/>
      </w:pPr>
      <w:r>
        <w:rPr>
          <w:b/>
        </w:rPr>
        <w:t xml:space="preserve">6. </w:t>
      </w:r>
      <w:r>
        <w:t>Tutanak okunduktan sonra yeni bir soru ihtiyacı doğarsa, soru yöneltme talebi CMK m.201 çerçevesinde somut olarak belirtilmelidir. [Sorulması istenen sorular veya açıklığa kavuşturulacak çelişkiler] maddeler hâlinde sunulabilir. Tanığın yeniden çağrılması veya yeniden dinlenmesi otomatik sonuç değildir; mahkeme, talebin uyuşmazlık konusu ve savunma hakkı bakımından neden gerekli olduğunu değerlendirir.</w:t>
      </w:r>
    </w:p>
    <w:p>
      <w:pPr>
        <w:spacing w:after="60" w:line="245" w:lineRule="auto"/>
        <w:ind w:firstLine="317"/>
      </w:pPr>
      <w:r>
        <w:rPr>
          <w:b/>
        </w:rPr>
        <w:t xml:space="preserve">7. </w:t>
      </w:r>
      <w:r>
        <w:t>Sanık dışarıdayken müdafiin hazır bulunması mümkündür. Müdafiin oturuma katılmış olması, CMK m.200/2'deki sanığa okuma ve gerektiğinde anlatma yükümlülüğünü ortadan kaldırmaz. Buna karşılık müdafiin sorduğu sorular, yaptığı itirazlar ve mahkemenin verdiği kararlar da yoklukta kalan işlemlerin kapsamında gösterilmelidir.</w:t>
      </w:r>
    </w:p>
    <w:p>
      <w:pPr>
        <w:spacing w:after="60" w:line="245" w:lineRule="auto"/>
        <w:ind w:firstLine="317"/>
      </w:pPr>
      <w:r>
        <w:rPr>
          <w:b/>
        </w:rPr>
        <w:t xml:space="preserve">8. </w:t>
      </w:r>
      <w:r>
        <w:t>Eksiklik fark edildiğinde özel bir gün veya hafta süresi öngörülmüş değildir. Ancak işlem henüz tamamlanırken veya ilk fırsatta, mümkünse hükümden önce talep edilmesi; hangi oturumun hangi bölümünün okunmadığının açıkça gösterilmesi gerekir. Eksiklik tek başına otomatik beraat, hükmün hükümsüzlüğü ya da kesin bozma sonucu doğurmaz; somut etkisi, zamanında itiraz ve başvurulan kanun yolu ayrıca değerlendirilir.</w:t>
      </w:r>
    </w:p>
    <w:p>
      <w:pPr>
        <w:spacing w:after="60" w:line="245" w:lineRule="auto"/>
        <w:ind w:firstLine="317"/>
      </w:pPr>
      <w:r>
        <w:rPr>
          <w:b/>
        </w:rPr>
        <w:t xml:space="preserve">9. </w:t>
      </w:r>
      <w:r>
        <w:t>Duruşma tutanağı CMK m.219-222 uyarınca duruşmanın akışını ve başlıca işlemleri yansıtmalıdır. Çıkarma kararının dayanağı, sanığın salondan ayrılış ve dönüş anı, yokluğunda yapılan işlemler, tutanağın okunması, yapılan açıklama ile sanık ve müdafiin cevapları zapta geçirildiğinde sonraki inceleme için denetlenebilir bir kayıt oluşur.</w:t>
      </w:r>
    </w:p>
    <w:p>
      <w:pPr>
        <w:spacing w:before="46"/>
      </w:pPr>
      <w:r>
        <w:rPr>
          <w:b/>
        </w:rPr>
        <w:t xml:space="preserve">HUKUKİ NEDENLER: </w:t>
      </w:r>
      <w:r>
        <w:t>5271 sayılı CMK m.33-35, 197, 200-201, 204, 208, 215-217, 219-222, 230, 232 ve ilgili hükümler.</w:t>
      </w:r>
    </w:p>
    <w:p>
      <w:r>
        <w:rPr>
          <w:b/>
        </w:rPr>
        <w:t xml:space="preserve">DELİLLER VE EKLER: </w:t>
      </w:r>
      <w:r>
        <w:t>İlgili duruşma tutanağı, varsa sesli ve görüntülü kayıt bilgisi, sanığın çıkarılmasına ilişkin ara karar, yoklukta alınan sanık veya tanık beyanı, müdafi soruları ve itirazları, sunulan belgeler, geri getirme ve okuma işlemini gösteren kayıtlar, UYAP evrak listesi ve yalnız dosyada bulunan diğer gerçek belgeler.</w:t>
      </w:r>
    </w:p>
    <w:p>
      <w:pPr>
        <w:spacing w:before="46" w:after="56"/>
      </w:pPr>
      <w:r>
        <w:rPr>
          <w:b/>
        </w:rPr>
        <w:t xml:space="preserve">SONUÇ VE İSTEM: </w:t>
      </w:r>
      <w:r>
        <w:t>Açıklanan nedenlerle; (1) [tarih] tarihli oturumda sanığın dışarı çıkarılmasına ilişkin kararın kanuni nedeni, kapsamı ve süresinin tutanaktan belirlenmesine, (2) sanık geri getirildikten sonra yokluğunda düzenlenen tutanakların CMK m.200/2 uyarınca okunmasına ve gerekli bölümlerin içeriğinin anlaşılır biçimde anlatılmasına, (3) sanık ve müdafiin beyan, itiraz ve tamamlayıcı soru taleplerinin tutanağa geçirilmesine, (4) eksik kayıt bulunması hâlinde duruşma tutanağının kanuna uygun biçimde tamamlanmasına, (5) gerekiyorsa [somut soru veya çelişki] yönünden ilgili kişinin yeniden dinlenmesi talebinin değerlendirilmesine karar verilmesini saygıyla talep ederim. [Tarih]</w:t>
      </w:r>
    </w:p>
    <w:p>
      <w:pPr>
        <w:jc w:val="right"/>
      </w:pPr>
      <w:r>
        <w:rPr>
          <w:b/>
        </w:rPr>
        <w:t>Sanık veya müdafi</w:t>
        <w:br/>
      </w:r>
      <w:r>
        <w:t>[Ad soyad ve imza]</w:t>
      </w:r>
    </w:p>
    <w:p>
      <w:pPr>
        <w:sectPr>
          <w:footerReference w:type="default" r:id="rId9"/>
          <w:pgSz w:w="12240" w:h="15840"/>
          <w:pgMar w:top="662" w:right="950" w:bottom="662" w:left="950" w:header="720" w:footer="720" w:gutter="0"/>
          <w:cols w:space="720"/>
          <w:docGrid w:linePitch="360"/>
        </w:sectPr>
      </w:pPr>
    </w:p>
    <w:p>
      <w:pPr>
        <w:pStyle w:val="Heading1"/>
        <w:jc w:val="center"/>
      </w:pPr>
      <w:r>
        <w:t>CMK 200/2 Okuma ve Açıklama Kontrol Çizelgesi</w:t>
      </w:r>
    </w:p>
    <w:p>
      <w:r>
        <w:t>Bu çizelge, yoklukta kalan duruşma bölümünün ve geri getirme sonrasındaki işlemlerin gerçek kayıtlarla gösterilmesine yardımcı olur. Köşeli alanlar dosya görülmeden doldurulmamalıdır.</w:t>
      </w:r>
    </w:p>
    <w:tbl>
      <w:tblPr>
        <w:tblStyle w:val="TableGrid"/>
        <w:tblW w:type="auto" w:w="0"/>
        <w:tblLayout w:type="fixed"/>
        <w:tblLook w:firstColumn="1" w:firstRow="1" w:lastColumn="0" w:lastRow="0" w:noHBand="0" w:noVBand="1" w:val="04A0"/>
      </w:tblPr>
      <w:tblGrid>
        <w:gridCol w:w="3447"/>
        <w:gridCol w:w="3447"/>
        <w:gridCol w:w="3447"/>
      </w:tblGrid>
      <w:tr>
        <w:trPr>
          <w:tblHeader w:val="true"/>
        </w:trPr>
        <w:tc>
          <w:tcPr>
            <w:tcW w:type="dxa" w:w="2160"/>
            <w:vAlign w:val="center"/>
            <w:tcMar>
              <w:top w:w="70" w:type="dxa"/>
              <w:start w:w="80" w:type="dxa"/>
              <w:bottom w:w="70" w:type="dxa"/>
              <w:end w:w="80" w:type="dxa"/>
            </w:tcMar>
            <w:shd w:fill="1F4E78"/>
          </w:tcPr>
          <w:p>
            <w:pPr>
              <w:jc w:val="center"/>
            </w:pPr>
            <w:r>
              <w:rPr>
                <w:rFonts w:ascii="Times New Roman" w:hAnsi="Times New Roman"/>
                <w:b/>
                <w:color w:val="FFFFFF"/>
                <w:sz w:val="16"/>
              </w:rPr>
              <w:t>Kontrol</w:t>
            </w:r>
          </w:p>
        </w:tc>
        <w:tc>
          <w:tcPr>
            <w:tcW w:type="dxa" w:w="5112"/>
            <w:vAlign w:val="center"/>
            <w:tcMar>
              <w:top w:w="70" w:type="dxa"/>
              <w:start w:w="80" w:type="dxa"/>
              <w:bottom w:w="70" w:type="dxa"/>
              <w:end w:w="80" w:type="dxa"/>
            </w:tcMar>
            <w:shd w:fill="1F4E78"/>
          </w:tcPr>
          <w:p>
            <w:pPr>
              <w:jc w:val="center"/>
            </w:pPr>
            <w:r>
              <w:rPr>
                <w:rFonts w:ascii="Times New Roman" w:hAnsi="Times New Roman"/>
                <w:b/>
                <w:color w:val="FFFFFF"/>
                <w:sz w:val="16"/>
              </w:rPr>
              <w:t>Dosyaya Yazılacak Bilgi</w:t>
            </w:r>
          </w:p>
        </w:tc>
        <w:tc>
          <w:tcPr>
            <w:tcW w:type="dxa" w:w="2664"/>
            <w:vAlign w:val="center"/>
            <w:tcMar>
              <w:top w:w="70" w:type="dxa"/>
              <w:start w:w="80" w:type="dxa"/>
              <w:bottom w:w="70" w:type="dxa"/>
              <w:end w:w="80" w:type="dxa"/>
            </w:tcMar>
            <w:shd w:fill="1F4E78"/>
          </w:tcPr>
          <w:p>
            <w:pPr>
              <w:jc w:val="center"/>
            </w:pPr>
            <w:r>
              <w:rPr>
                <w:rFonts w:ascii="Times New Roman" w:hAnsi="Times New Roman"/>
                <w:b/>
                <w:color w:val="FFFFFF"/>
                <w:sz w:val="16"/>
              </w:rPr>
              <w:t>Hukuki Amaç</w:t>
            </w:r>
          </w:p>
        </w:tc>
      </w:tr>
      <w:tr>
        <w:tc>
          <w:tcPr>
            <w:tcW w:type="dxa" w:w="2160"/>
            <w:vAlign w:val="center"/>
            <w:tcMar>
              <w:top w:w="70" w:type="dxa"/>
              <w:start w:w="80" w:type="dxa"/>
              <w:bottom w:w="70" w:type="dxa"/>
              <w:end w:w="80" w:type="dxa"/>
            </w:tcMar>
          </w:tcPr>
          <w:p>
            <w:pPr>
              <w:jc w:val="center"/>
            </w:pPr>
            <w:r>
              <w:rPr>
                <w:rFonts w:ascii="Times New Roman" w:hAnsi="Times New Roman"/>
                <w:sz w:val="15"/>
              </w:rPr>
              <w:t>Ara karar</w:t>
            </w:r>
          </w:p>
        </w:tc>
        <w:tc>
          <w:tcPr>
            <w:tcW w:type="dxa" w:w="5112"/>
            <w:vAlign w:val="center"/>
            <w:tcMar>
              <w:top w:w="70" w:type="dxa"/>
              <w:start w:w="80" w:type="dxa"/>
              <w:bottom w:w="70" w:type="dxa"/>
              <w:end w:w="80" w:type="dxa"/>
            </w:tcMar>
          </w:tcPr>
          <w:p>
            <w:pPr>
              <w:jc w:val="left"/>
            </w:pPr>
            <w:r>
              <w:rPr>
                <w:rFonts w:ascii="Times New Roman" w:hAnsi="Times New Roman"/>
                <w:sz w:val="15"/>
              </w:rPr>
              <w:t>[Tarih, saat, dayanak ve gerekçe]</w:t>
            </w:r>
          </w:p>
        </w:tc>
        <w:tc>
          <w:tcPr>
            <w:tcW w:type="dxa" w:w="2664"/>
            <w:vAlign w:val="center"/>
            <w:tcMar>
              <w:top w:w="70" w:type="dxa"/>
              <w:start w:w="80" w:type="dxa"/>
              <w:bottom w:w="70" w:type="dxa"/>
              <w:end w:w="80" w:type="dxa"/>
            </w:tcMar>
          </w:tcPr>
          <w:p>
            <w:pPr>
              <w:jc w:val="center"/>
            </w:pPr>
            <w:r>
              <w:rPr>
                <w:rFonts w:ascii="Times New Roman" w:hAnsi="Times New Roman"/>
                <w:sz w:val="15"/>
              </w:rPr>
              <w:t>CMK 200/1</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Dinlenen kişi</w:t>
            </w:r>
          </w:p>
        </w:tc>
        <w:tc>
          <w:tcPr>
            <w:tcW w:type="dxa" w:w="5112"/>
            <w:vAlign w:val="center"/>
            <w:tcMar>
              <w:top w:w="70" w:type="dxa"/>
              <w:start w:w="80" w:type="dxa"/>
              <w:bottom w:w="70" w:type="dxa"/>
              <w:end w:w="80" w:type="dxa"/>
            </w:tcMar>
            <w:shd w:fill="EAF2F8"/>
          </w:tcPr>
          <w:p>
            <w:pPr>
              <w:jc w:val="left"/>
            </w:pPr>
            <w:r>
              <w:rPr>
                <w:rFonts w:ascii="Times New Roman" w:hAnsi="Times New Roman"/>
                <w:sz w:val="15"/>
              </w:rPr>
              <w:t>[Ad, sıfat, işlem türü]</w:t>
            </w:r>
          </w:p>
        </w:tc>
        <w:tc>
          <w:tcPr>
            <w:tcW w:type="dxa" w:w="2664"/>
            <w:vAlign w:val="center"/>
            <w:tcMar>
              <w:top w:w="70" w:type="dxa"/>
              <w:start w:w="80" w:type="dxa"/>
              <w:bottom w:w="70" w:type="dxa"/>
              <w:end w:w="80" w:type="dxa"/>
            </w:tcMar>
            <w:shd w:fill="EAF2F8"/>
          </w:tcPr>
          <w:p>
            <w:pPr>
              <w:jc w:val="center"/>
            </w:pPr>
            <w:r>
              <w:rPr>
                <w:rFonts w:ascii="Times New Roman" w:hAnsi="Times New Roman"/>
                <w:sz w:val="15"/>
              </w:rPr>
              <w:t>Kapsam</w:t>
            </w:r>
          </w:p>
        </w:tc>
      </w:tr>
      <w:tr>
        <w:tc>
          <w:tcPr>
            <w:tcW w:type="dxa" w:w="2160"/>
            <w:vAlign w:val="center"/>
            <w:tcMar>
              <w:top w:w="70" w:type="dxa"/>
              <w:start w:w="80" w:type="dxa"/>
              <w:bottom w:w="70" w:type="dxa"/>
              <w:end w:w="80" w:type="dxa"/>
            </w:tcMar>
          </w:tcPr>
          <w:p>
            <w:pPr>
              <w:jc w:val="center"/>
            </w:pPr>
            <w:r>
              <w:rPr>
                <w:rFonts w:ascii="Times New Roman" w:hAnsi="Times New Roman"/>
                <w:sz w:val="15"/>
              </w:rPr>
              <w:t>Çıkarılma anı</w:t>
            </w:r>
          </w:p>
        </w:tc>
        <w:tc>
          <w:tcPr>
            <w:tcW w:type="dxa" w:w="5112"/>
            <w:vAlign w:val="center"/>
            <w:tcMar>
              <w:top w:w="70" w:type="dxa"/>
              <w:start w:w="80" w:type="dxa"/>
              <w:bottom w:w="70" w:type="dxa"/>
              <w:end w:w="80" w:type="dxa"/>
            </w:tcMar>
          </w:tcPr>
          <w:p>
            <w:pPr>
              <w:jc w:val="left"/>
            </w:pPr>
            <w:r>
              <w:rPr>
                <w:rFonts w:ascii="Times New Roman" w:hAnsi="Times New Roman"/>
                <w:sz w:val="15"/>
              </w:rPr>
              <w:t>[Saat ve tutanak sayfası]</w:t>
            </w:r>
          </w:p>
        </w:tc>
        <w:tc>
          <w:tcPr>
            <w:tcW w:type="dxa" w:w="2664"/>
            <w:vAlign w:val="center"/>
            <w:tcMar>
              <w:top w:w="70" w:type="dxa"/>
              <w:start w:w="80" w:type="dxa"/>
              <w:bottom w:w="70" w:type="dxa"/>
              <w:end w:w="80" w:type="dxa"/>
            </w:tcMar>
          </w:tcPr>
          <w:p>
            <w:pPr>
              <w:jc w:val="center"/>
            </w:pPr>
            <w:r>
              <w:rPr>
                <w:rFonts w:ascii="Times New Roman" w:hAnsi="Times New Roman"/>
                <w:sz w:val="15"/>
              </w:rPr>
              <w:t>Başlangıç</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Müdafi katılımı</w:t>
            </w:r>
          </w:p>
        </w:tc>
        <w:tc>
          <w:tcPr>
            <w:tcW w:type="dxa" w:w="5112"/>
            <w:vAlign w:val="center"/>
            <w:tcMar>
              <w:top w:w="70" w:type="dxa"/>
              <w:start w:w="80" w:type="dxa"/>
              <w:bottom w:w="70" w:type="dxa"/>
              <w:end w:w="80" w:type="dxa"/>
            </w:tcMar>
            <w:shd w:fill="EAF2F8"/>
          </w:tcPr>
          <w:p>
            <w:pPr>
              <w:jc w:val="left"/>
            </w:pPr>
            <w:r>
              <w:rPr>
                <w:rFonts w:ascii="Times New Roman" w:hAnsi="Times New Roman"/>
                <w:sz w:val="15"/>
              </w:rPr>
              <w:t>[Hazır mı, hangi soruları sordu]</w:t>
            </w:r>
          </w:p>
        </w:tc>
        <w:tc>
          <w:tcPr>
            <w:tcW w:type="dxa" w:w="2664"/>
            <w:vAlign w:val="center"/>
            <w:tcMar>
              <w:top w:w="70" w:type="dxa"/>
              <w:start w:w="80" w:type="dxa"/>
              <w:bottom w:w="70" w:type="dxa"/>
              <w:end w:w="80" w:type="dxa"/>
            </w:tcMar>
            <w:shd w:fill="EAF2F8"/>
          </w:tcPr>
          <w:p>
            <w:pPr>
              <w:jc w:val="center"/>
            </w:pPr>
            <w:r>
              <w:rPr>
                <w:rFonts w:ascii="Times New Roman" w:hAnsi="Times New Roman"/>
                <w:sz w:val="15"/>
              </w:rPr>
              <w:t>Savunma</w:t>
            </w:r>
          </w:p>
        </w:tc>
      </w:tr>
      <w:tr>
        <w:tc>
          <w:tcPr>
            <w:tcW w:type="dxa" w:w="2160"/>
            <w:vAlign w:val="center"/>
            <w:tcMar>
              <w:top w:w="70" w:type="dxa"/>
              <w:start w:w="80" w:type="dxa"/>
              <w:bottom w:w="70" w:type="dxa"/>
              <w:end w:w="80" w:type="dxa"/>
            </w:tcMar>
          </w:tcPr>
          <w:p>
            <w:pPr>
              <w:jc w:val="center"/>
            </w:pPr>
            <w:r>
              <w:rPr>
                <w:rFonts w:ascii="Times New Roman" w:hAnsi="Times New Roman"/>
                <w:sz w:val="15"/>
              </w:rPr>
              <w:t>Yokluktaki beyan</w:t>
            </w:r>
          </w:p>
        </w:tc>
        <w:tc>
          <w:tcPr>
            <w:tcW w:type="dxa" w:w="5112"/>
            <w:vAlign w:val="center"/>
            <w:tcMar>
              <w:top w:w="70" w:type="dxa"/>
              <w:start w:w="80" w:type="dxa"/>
              <w:bottom w:w="70" w:type="dxa"/>
              <w:end w:w="80" w:type="dxa"/>
            </w:tcMar>
          </w:tcPr>
          <w:p>
            <w:pPr>
              <w:jc w:val="left"/>
            </w:pPr>
            <w:r>
              <w:rPr>
                <w:rFonts w:ascii="Times New Roman" w:hAnsi="Times New Roman"/>
                <w:sz w:val="15"/>
              </w:rPr>
              <w:t>[Tutanak sayfaları]</w:t>
            </w:r>
          </w:p>
        </w:tc>
        <w:tc>
          <w:tcPr>
            <w:tcW w:type="dxa" w:w="2664"/>
            <w:vAlign w:val="center"/>
            <w:tcMar>
              <w:top w:w="70" w:type="dxa"/>
              <w:start w:w="80" w:type="dxa"/>
              <w:bottom w:w="70" w:type="dxa"/>
              <w:end w:w="80" w:type="dxa"/>
            </w:tcMar>
          </w:tcPr>
          <w:p>
            <w:pPr>
              <w:jc w:val="center"/>
            </w:pPr>
            <w:r>
              <w:rPr>
                <w:rFonts w:ascii="Times New Roman" w:hAnsi="Times New Roman"/>
                <w:sz w:val="15"/>
              </w:rPr>
              <w:t>Okunacak bölüm</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Sunulan belgeler</w:t>
            </w:r>
          </w:p>
        </w:tc>
        <w:tc>
          <w:tcPr>
            <w:tcW w:type="dxa" w:w="5112"/>
            <w:vAlign w:val="center"/>
            <w:tcMar>
              <w:top w:w="70" w:type="dxa"/>
              <w:start w:w="80" w:type="dxa"/>
              <w:bottom w:w="70" w:type="dxa"/>
              <w:end w:w="80" w:type="dxa"/>
            </w:tcMar>
            <w:shd w:fill="EAF2F8"/>
          </w:tcPr>
          <w:p>
            <w:pPr>
              <w:jc w:val="left"/>
            </w:pPr>
            <w:r>
              <w:rPr>
                <w:rFonts w:ascii="Times New Roman" w:hAnsi="Times New Roman"/>
                <w:sz w:val="15"/>
              </w:rPr>
              <w:t>[Belge adı ve kayıt numarası]</w:t>
            </w:r>
          </w:p>
        </w:tc>
        <w:tc>
          <w:tcPr>
            <w:tcW w:type="dxa" w:w="2664"/>
            <w:vAlign w:val="center"/>
            <w:tcMar>
              <w:top w:w="70" w:type="dxa"/>
              <w:start w:w="80" w:type="dxa"/>
              <w:bottom w:w="70" w:type="dxa"/>
              <w:end w:w="80" w:type="dxa"/>
            </w:tcMar>
            <w:shd w:fill="EAF2F8"/>
          </w:tcPr>
          <w:p>
            <w:pPr>
              <w:jc w:val="center"/>
            </w:pPr>
            <w:r>
              <w:rPr>
                <w:rFonts w:ascii="Times New Roman" w:hAnsi="Times New Roman"/>
                <w:sz w:val="15"/>
              </w:rPr>
              <w:t>Bilgilendirme</w:t>
            </w:r>
          </w:p>
        </w:tc>
      </w:tr>
      <w:tr>
        <w:tc>
          <w:tcPr>
            <w:tcW w:type="dxa" w:w="2160"/>
            <w:vAlign w:val="center"/>
            <w:tcMar>
              <w:top w:w="70" w:type="dxa"/>
              <w:start w:w="80" w:type="dxa"/>
              <w:bottom w:w="70" w:type="dxa"/>
              <w:end w:w="80" w:type="dxa"/>
            </w:tcMar>
          </w:tcPr>
          <w:p>
            <w:pPr>
              <w:jc w:val="center"/>
            </w:pPr>
            <w:r>
              <w:rPr>
                <w:rFonts w:ascii="Times New Roman" w:hAnsi="Times New Roman"/>
                <w:sz w:val="15"/>
              </w:rPr>
              <w:t>Ara kararlar</w:t>
            </w:r>
          </w:p>
        </w:tc>
        <w:tc>
          <w:tcPr>
            <w:tcW w:type="dxa" w:w="5112"/>
            <w:vAlign w:val="center"/>
            <w:tcMar>
              <w:top w:w="70" w:type="dxa"/>
              <w:start w:w="80" w:type="dxa"/>
              <w:bottom w:w="70" w:type="dxa"/>
              <w:end w:w="80" w:type="dxa"/>
            </w:tcMar>
          </w:tcPr>
          <w:p>
            <w:pPr>
              <w:jc w:val="left"/>
            </w:pPr>
            <w:r>
              <w:rPr>
                <w:rFonts w:ascii="Times New Roman" w:hAnsi="Times New Roman"/>
                <w:sz w:val="15"/>
              </w:rPr>
              <w:t>[Karar ve gerekçesi]</w:t>
            </w:r>
          </w:p>
        </w:tc>
        <w:tc>
          <w:tcPr>
            <w:tcW w:type="dxa" w:w="2664"/>
            <w:vAlign w:val="center"/>
            <w:tcMar>
              <w:top w:w="70" w:type="dxa"/>
              <w:start w:w="80" w:type="dxa"/>
              <w:bottom w:w="70" w:type="dxa"/>
              <w:end w:w="80" w:type="dxa"/>
            </w:tcMar>
          </w:tcPr>
          <w:p>
            <w:pPr>
              <w:jc w:val="center"/>
            </w:pPr>
            <w:r>
              <w:rPr>
                <w:rFonts w:ascii="Times New Roman" w:hAnsi="Times New Roman"/>
                <w:sz w:val="15"/>
              </w:rPr>
              <w:t>Okunacak işlem</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Geri getirme</w:t>
            </w:r>
          </w:p>
        </w:tc>
        <w:tc>
          <w:tcPr>
            <w:tcW w:type="dxa" w:w="5112"/>
            <w:vAlign w:val="center"/>
            <w:tcMar>
              <w:top w:w="70" w:type="dxa"/>
              <w:start w:w="80" w:type="dxa"/>
              <w:bottom w:w="70" w:type="dxa"/>
              <w:end w:w="80" w:type="dxa"/>
            </w:tcMar>
            <w:shd w:fill="EAF2F8"/>
          </w:tcPr>
          <w:p>
            <w:pPr>
              <w:jc w:val="left"/>
            </w:pPr>
            <w:r>
              <w:rPr>
                <w:rFonts w:ascii="Times New Roman" w:hAnsi="Times New Roman"/>
                <w:sz w:val="15"/>
              </w:rPr>
              <w:t>[Tarih ve saat]</w:t>
            </w:r>
          </w:p>
        </w:tc>
        <w:tc>
          <w:tcPr>
            <w:tcW w:type="dxa" w:w="2664"/>
            <w:vAlign w:val="center"/>
            <w:tcMar>
              <w:top w:w="70" w:type="dxa"/>
              <w:start w:w="80" w:type="dxa"/>
              <w:bottom w:w="70" w:type="dxa"/>
              <w:end w:w="80" w:type="dxa"/>
            </w:tcMar>
            <w:shd w:fill="EAF2F8"/>
          </w:tcPr>
          <w:p>
            <w:pPr>
              <w:jc w:val="center"/>
            </w:pPr>
            <w:r>
              <w:rPr>
                <w:rFonts w:ascii="Times New Roman" w:hAnsi="Times New Roman"/>
                <w:sz w:val="15"/>
              </w:rPr>
              <w:t>CMK 200/2</w:t>
            </w:r>
          </w:p>
        </w:tc>
      </w:tr>
      <w:tr>
        <w:tc>
          <w:tcPr>
            <w:tcW w:type="dxa" w:w="2160"/>
            <w:vAlign w:val="center"/>
            <w:tcMar>
              <w:top w:w="70" w:type="dxa"/>
              <w:start w:w="80" w:type="dxa"/>
              <w:bottom w:w="70" w:type="dxa"/>
              <w:end w:w="80" w:type="dxa"/>
            </w:tcMar>
          </w:tcPr>
          <w:p>
            <w:pPr>
              <w:jc w:val="center"/>
            </w:pPr>
            <w:r>
              <w:rPr>
                <w:rFonts w:ascii="Times New Roman" w:hAnsi="Times New Roman"/>
                <w:sz w:val="15"/>
              </w:rPr>
              <w:t>Tutanak okuma</w:t>
            </w:r>
          </w:p>
        </w:tc>
        <w:tc>
          <w:tcPr>
            <w:tcW w:type="dxa" w:w="5112"/>
            <w:vAlign w:val="center"/>
            <w:tcMar>
              <w:top w:w="70" w:type="dxa"/>
              <w:start w:w="80" w:type="dxa"/>
              <w:bottom w:w="70" w:type="dxa"/>
              <w:end w:w="80" w:type="dxa"/>
            </w:tcMar>
          </w:tcPr>
          <w:p>
            <w:pPr>
              <w:jc w:val="left"/>
            </w:pPr>
            <w:r>
              <w:rPr>
                <w:rFonts w:ascii="Times New Roman" w:hAnsi="Times New Roman"/>
                <w:sz w:val="15"/>
              </w:rPr>
              <w:t>[Okunan sayfalar ve kayıt]</w:t>
            </w:r>
          </w:p>
        </w:tc>
        <w:tc>
          <w:tcPr>
            <w:tcW w:type="dxa" w:w="2664"/>
            <w:vAlign w:val="center"/>
            <w:tcMar>
              <w:top w:w="70" w:type="dxa"/>
              <w:start w:w="80" w:type="dxa"/>
              <w:bottom w:w="70" w:type="dxa"/>
              <w:end w:w="80" w:type="dxa"/>
            </w:tcMar>
          </w:tcPr>
          <w:p>
            <w:pPr>
              <w:jc w:val="center"/>
            </w:pPr>
            <w:r>
              <w:rPr>
                <w:rFonts w:ascii="Times New Roman" w:hAnsi="Times New Roman"/>
                <w:sz w:val="15"/>
              </w:rPr>
              <w:t>Zorunlu işlem</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İçerik anlatımı</w:t>
            </w:r>
          </w:p>
        </w:tc>
        <w:tc>
          <w:tcPr>
            <w:tcW w:type="dxa" w:w="5112"/>
            <w:vAlign w:val="center"/>
            <w:tcMar>
              <w:top w:w="70" w:type="dxa"/>
              <w:start w:w="80" w:type="dxa"/>
              <w:bottom w:w="70" w:type="dxa"/>
              <w:end w:w="80" w:type="dxa"/>
            </w:tcMar>
            <w:shd w:fill="EAF2F8"/>
          </w:tcPr>
          <w:p>
            <w:pPr>
              <w:jc w:val="left"/>
            </w:pPr>
            <w:r>
              <w:rPr>
                <w:rFonts w:ascii="Times New Roman" w:hAnsi="Times New Roman"/>
                <w:sz w:val="15"/>
              </w:rPr>
              <w:t>[Açıklanan teknik/kapalı bölüm]</w:t>
            </w:r>
          </w:p>
        </w:tc>
        <w:tc>
          <w:tcPr>
            <w:tcW w:type="dxa" w:w="2664"/>
            <w:vAlign w:val="center"/>
            <w:tcMar>
              <w:top w:w="70" w:type="dxa"/>
              <w:start w:w="80" w:type="dxa"/>
              <w:bottom w:w="70" w:type="dxa"/>
              <w:end w:w="80" w:type="dxa"/>
            </w:tcMar>
            <w:shd w:fill="EAF2F8"/>
          </w:tcPr>
          <w:p>
            <w:pPr>
              <w:jc w:val="center"/>
            </w:pPr>
            <w:r>
              <w:rPr>
                <w:rFonts w:ascii="Times New Roman" w:hAnsi="Times New Roman"/>
                <w:sz w:val="15"/>
              </w:rPr>
              <w:t>Gerektiğinde</w:t>
            </w:r>
          </w:p>
        </w:tc>
      </w:tr>
      <w:tr>
        <w:tc>
          <w:tcPr>
            <w:tcW w:type="dxa" w:w="2160"/>
            <w:vAlign w:val="center"/>
            <w:tcMar>
              <w:top w:w="70" w:type="dxa"/>
              <w:start w:w="80" w:type="dxa"/>
              <w:bottom w:w="70" w:type="dxa"/>
              <w:end w:w="80" w:type="dxa"/>
            </w:tcMar>
          </w:tcPr>
          <w:p>
            <w:pPr>
              <w:jc w:val="center"/>
            </w:pPr>
            <w:r>
              <w:rPr>
                <w:rFonts w:ascii="Times New Roman" w:hAnsi="Times New Roman"/>
                <w:sz w:val="15"/>
              </w:rPr>
              <w:t>Sanık beyanı</w:t>
            </w:r>
          </w:p>
        </w:tc>
        <w:tc>
          <w:tcPr>
            <w:tcW w:type="dxa" w:w="5112"/>
            <w:vAlign w:val="center"/>
            <w:tcMar>
              <w:top w:w="70" w:type="dxa"/>
              <w:start w:w="80" w:type="dxa"/>
              <w:bottom w:w="70" w:type="dxa"/>
              <w:end w:w="80" w:type="dxa"/>
            </w:tcMar>
          </w:tcPr>
          <w:p>
            <w:pPr>
              <w:jc w:val="left"/>
            </w:pPr>
            <w:r>
              <w:rPr>
                <w:rFonts w:ascii="Times New Roman" w:hAnsi="Times New Roman"/>
                <w:sz w:val="15"/>
              </w:rPr>
              <w:t>[İtiraz, açıklama, soru talebi]</w:t>
            </w:r>
          </w:p>
        </w:tc>
        <w:tc>
          <w:tcPr>
            <w:tcW w:type="dxa" w:w="2664"/>
            <w:vAlign w:val="center"/>
            <w:tcMar>
              <w:top w:w="70" w:type="dxa"/>
              <w:start w:w="80" w:type="dxa"/>
              <w:bottom w:w="70" w:type="dxa"/>
              <w:end w:w="80" w:type="dxa"/>
            </w:tcMar>
          </w:tcPr>
          <w:p>
            <w:pPr>
              <w:jc w:val="center"/>
            </w:pPr>
            <w:r>
              <w:rPr>
                <w:rFonts w:ascii="Times New Roman" w:hAnsi="Times New Roman"/>
                <w:sz w:val="15"/>
              </w:rPr>
              <w:t>CMK 215</w:t>
            </w:r>
          </w:p>
        </w:tc>
      </w:tr>
      <w:tr>
        <w:tc>
          <w:tcPr>
            <w:tcW w:type="dxa" w:w="2160"/>
            <w:vAlign w:val="center"/>
            <w:tcMar>
              <w:top w:w="70" w:type="dxa"/>
              <w:start w:w="80" w:type="dxa"/>
              <w:bottom w:w="70" w:type="dxa"/>
              <w:end w:w="80" w:type="dxa"/>
            </w:tcMar>
            <w:shd w:fill="EAF2F8"/>
          </w:tcPr>
          <w:p>
            <w:pPr>
              <w:jc w:val="center"/>
            </w:pPr>
            <w:r>
              <w:rPr>
                <w:rFonts w:ascii="Times New Roman" w:hAnsi="Times New Roman"/>
                <w:sz w:val="15"/>
              </w:rPr>
              <w:t>Müdafi beyanı</w:t>
            </w:r>
          </w:p>
        </w:tc>
        <w:tc>
          <w:tcPr>
            <w:tcW w:type="dxa" w:w="5112"/>
            <w:vAlign w:val="center"/>
            <w:tcMar>
              <w:top w:w="70" w:type="dxa"/>
              <w:start w:w="80" w:type="dxa"/>
              <w:bottom w:w="70" w:type="dxa"/>
              <w:end w:w="80" w:type="dxa"/>
            </w:tcMar>
            <w:shd w:fill="EAF2F8"/>
          </w:tcPr>
          <w:p>
            <w:pPr>
              <w:jc w:val="left"/>
            </w:pPr>
            <w:r>
              <w:rPr>
                <w:rFonts w:ascii="Times New Roman" w:hAnsi="Times New Roman"/>
                <w:sz w:val="15"/>
              </w:rPr>
              <w:t>[İtiraz ve tamamlayıcı talep]</w:t>
            </w:r>
          </w:p>
        </w:tc>
        <w:tc>
          <w:tcPr>
            <w:tcW w:type="dxa" w:w="2664"/>
            <w:vAlign w:val="center"/>
            <w:tcMar>
              <w:top w:w="70" w:type="dxa"/>
              <w:start w:w="80" w:type="dxa"/>
              <w:bottom w:w="70" w:type="dxa"/>
              <w:end w:w="80" w:type="dxa"/>
            </w:tcMar>
            <w:shd w:fill="EAF2F8"/>
          </w:tcPr>
          <w:p>
            <w:pPr>
              <w:jc w:val="center"/>
            </w:pPr>
            <w:r>
              <w:rPr>
                <w:rFonts w:ascii="Times New Roman" w:hAnsi="Times New Roman"/>
                <w:sz w:val="15"/>
              </w:rPr>
              <w:t>CMK 201</w:t>
            </w:r>
          </w:p>
        </w:tc>
      </w:tr>
    </w:tbl>
    <w:p>
      <w:pPr>
        <w:pStyle w:val="Heading1"/>
      </w:pPr>
      <w:r>
        <w:t>Kullanım Notları</w:t>
      </w:r>
    </w:p>
    <w:p>
      <w:pPr>
        <w:pStyle w:val="ListBullet"/>
        <w:spacing w:after="40"/>
      </w:pPr>
      <w:r>
        <w:t>Talep, CMK 200/1 kararının gerçekten uygulandığı oturum ve yoklukta yapılan belirli işlemlerle sınırlanmalıdır.</w:t>
      </w:r>
    </w:p>
    <w:p>
      <w:pPr>
        <w:pStyle w:val="ListBullet"/>
        <w:spacing w:after="40"/>
      </w:pPr>
      <w:r>
        <w:t>Tutanak okunması ile gerektiğinde içeriğin anlatılması ayrı ayrı kayda geçirilmelidir.</w:t>
      </w:r>
    </w:p>
    <w:p>
      <w:pPr>
        <w:pStyle w:val="ListBullet"/>
        <w:spacing w:after="40"/>
      </w:pPr>
      <w:r>
        <w:t>Yeni soru veya yeniden dinleme talebi varsa, giderilmek istenen çelişki ve sorular somutlaştırılmalıdır.</w:t>
      </w:r>
    </w:p>
    <w:p>
      <w:pPr>
        <w:pStyle w:val="ListBullet"/>
        <w:spacing w:after="40"/>
      </w:pPr>
      <w:r>
        <w:t>CMK 200/2 işlemi ile duruşma düzenini bozan sanığın çıkarılmasına ilişkin CMK 204 birbirine karıştırılmamalıdır.</w:t>
      </w:r>
    </w:p>
    <w:sectPr w:rsidR="00FC693F" w:rsidRPr="0006063C" w:rsidSect="00034616">
      <w:footerReference w:type="default" r:id="rId10"/>
      <w:pgSz w:w="12240" w:h="15840"/>
      <w:pgMar w:top="662" w:right="950" w:bottom="662"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gerçek dosya belgelerine uyarlanmalıdır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gerçek dosya belgelerine uyarlanmalıdır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4" w:line="240" w:lineRule="auto"/>
    </w:pPr>
    <w:rPr>
      <w:rFonts w:ascii="Times New Roman" w:hAnsi="Times New Roman" w:eastAsia="Times New Roman"/>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4" w:after="42"/>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200/2 Sanığa Tutanakların Okunması Dilekçesi</dc:title>
  <dc:subject>Ceza muhakemesi dilekçe örneği</dc:subject>
  <dc:creator>Av. Halil Bakırcı</dc:creator>
  <cp:keywords>CMK 200/2, tutanakların okunması, sanığın salona geri getirilmesi, savunma hakkı</cp:keywords>
  <dc:description>generated by python-docx</dc:description>
  <cp:lastModifiedBy/>
  <cp:revision>1</cp:revision>
  <dcterms:created xsi:type="dcterms:W3CDTF">2013-12-23T23:15:00Z</dcterms:created>
  <dcterms:modified xsi:type="dcterms:W3CDTF">2013-12-23T23:15:00Z</dcterms:modified>
  <cp:category/>
</cp:coreProperties>
</file>