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204 Salondan Çıkarılan Sanığın Savunma Güvenceleri Talebi</w:t>
      </w:r>
    </w:p>
    <w:p>
      <w:pPr>
        <w:spacing w:after="80"/>
        <w:jc w:val="center"/>
      </w:pPr>
      <w:r>
        <w:rPr>
          <w:b/>
          <w:sz w:val="20"/>
        </w:rPr>
        <w:t>[YARGILAMAYI YÜRÜTEN CEZA MAHKEMESİNE]</w:t>
      </w:r>
    </w:p>
    <w:p>
      <w:pPr>
        <w:spacing w:after="32"/>
      </w:pPr>
      <w:r>
        <w:rPr>
          <w:b/>
        </w:rPr>
        <w:t xml:space="preserve">ESAS NO: </w:t>
      </w:r>
      <w:r>
        <w:t>[Gerçek esas numarası]</w:t>
      </w:r>
    </w:p>
    <w:p>
      <w:pPr>
        <w:spacing w:after="32"/>
      </w:pPr>
      <w:r>
        <w:rPr>
          <w:b/>
        </w:rPr>
        <w:t xml:space="preserve">SANIK: </w:t>
      </w:r>
      <w:r>
        <w:t>[Ad soyad]</w:t>
      </w:r>
    </w:p>
    <w:p>
      <w:pPr>
        <w:spacing w:after="32"/>
      </w:pPr>
      <w:r>
        <w:rPr>
          <w:b/>
        </w:rPr>
        <w:t xml:space="preserve">MÜDAFİ: </w:t>
      </w:r>
      <w:r>
        <w:t>[Varsa avukat adı, baro ve sicil]</w:t>
      </w:r>
    </w:p>
    <w:p>
      <w:pPr>
        <w:spacing w:before="40" w:after="60"/>
      </w:pPr>
      <w:r>
        <w:rPr>
          <w:b/>
        </w:rPr>
        <w:t xml:space="preserve">KONU: </w:t>
      </w:r>
      <w:r>
        <w:t>[Tarih] tarihli oturumda CMK m.204 uyarınca salondan çıkarılan sanık bakımından davranış ve çıkarma kaydının somutlaştırılması; hazır bulunmanın savunma yönünden zorunlu olup olmadığının değerlendirilmesi; müdafi yoksa barodan görevlendirme istenmesi ve yeniden salona alınırsa yoklukta yapılan işlemlerin açıklanması talebidir.</w:t>
      </w:r>
    </w:p>
    <w:p>
      <w:pPr>
        <w:pStyle w:val="Heading1"/>
      </w:pPr>
      <w:r>
        <w:t>AÇIKLAMALAR</w:t>
      </w:r>
    </w:p>
    <w:p>
      <w:pPr>
        <w:spacing w:after="64" w:line="247" w:lineRule="auto"/>
        <w:ind w:firstLine="317"/>
      </w:pPr>
      <w:r>
        <w:rPr>
          <w:b/>
        </w:rPr>
        <w:t xml:space="preserve">1. </w:t>
      </w:r>
      <w:r>
        <w:t>Mahkemenizin yukarıda numarası yazılı dosyasının [tarih] tarihli celsesinde [tanık dinleme / belge okuma / mütalaa / gerçek işlem] yürütülürken sanık hakkında CMK m.204 kapsamında salondan çıkarma işlemi yapılmıştır. Celse tutanağındaki kayıt şöyledir: “[Kısa ve doğru tutanak alıntısı]”.</w:t>
      </w:r>
    </w:p>
    <w:p>
      <w:pPr>
        <w:spacing w:after="64" w:line="247" w:lineRule="auto"/>
        <w:ind w:firstLine="317"/>
      </w:pPr>
      <w:r>
        <w:rPr>
          <w:b/>
        </w:rPr>
        <w:t xml:space="preserve">2. </w:t>
      </w:r>
      <w:r>
        <w:t>Çıkarma tedbirine esas alınan somut davranışın [söz, hareket, muhatap, saat ve duruşma akışına etkisi] olduğu ileri sürülmektedir. Tutanakta yalnız soyut bir sonuç cümlesi varsa davranışın, varsa uyarının ve düzenli yürütmeye etkisinin denetlenebilir biçimde tamamlanmasını talep ediyoruz. Görülmeyen bir tehdit, direnme veya güvenlik müdahalesi gerçekleşmiş gibi yazılmamalıdır.</w:t>
      </w:r>
    </w:p>
    <w:p>
      <w:pPr>
        <w:spacing w:after="64" w:line="247" w:lineRule="auto"/>
        <w:ind w:firstLine="317"/>
      </w:pPr>
      <w:r>
        <w:rPr>
          <w:b/>
        </w:rPr>
        <w:t xml:space="preserve">3. </w:t>
      </w:r>
      <w:r>
        <w:t>CMK m.204, sanığın çıkarılmasından sonra oturumun yoklukta kendiliğinden sürdürülmesini öngörmez. Mahkeme, dosyanın o anki durumuna göre sanığın hazır bulunmasını savunması bakımından zorunlu görüp görmediğini ayrıca değerlendirmelidir. Dosyada [yüzleştirme / ek sorgu / yeni delil / mütalaa / kişisel açıklama] işlemi varsa bu işlem yönünden hazır bulunma ihtiyacı somut gerekçeyle karara bağlanmalıdır.</w:t>
      </w:r>
    </w:p>
    <w:p>
      <w:pPr>
        <w:spacing w:after="64" w:line="247" w:lineRule="auto"/>
        <w:ind w:firstLine="317"/>
      </w:pPr>
      <w:r>
        <w:rPr>
          <w:b/>
        </w:rPr>
        <w:t xml:space="preserve">4. </w:t>
      </w:r>
      <w:r>
        <w:t>Sanık [saat] ile [saat] arasında salon dışında kalmıştır. Bu aralıkta [tanık veya bilirkişi] dinlenmiş, [belge ya da rapor] açıklanmış, [talep] sunulmuş ve [ara karar] verilmiştir. Yoklukta yapılan işlemlerin tam listesi celse tutanağı ve UYAP evrak sırasından çıkarılmalıdır.</w:t>
      </w:r>
    </w:p>
    <w:p>
      <w:pPr>
        <w:spacing w:after="64" w:line="247" w:lineRule="auto"/>
        <w:ind w:firstLine="317"/>
      </w:pPr>
      <w:r>
        <w:rPr>
          <w:b/>
        </w:rPr>
        <w:t xml:space="preserve">5. </w:t>
      </w:r>
      <w:r>
        <w:t>Sanığın [seçilmiş/görevlendirilmiş] müdafii [vardır/yoktur]. Müdafi yoksa CMK m.204'ün açık hükmü uyarınca mahkemenin barodan müdafi görevlendirilmesini istemesi gerekir. Görevlendirilen müdafie dosyayı ve o oturumda yapılan işlemleri inceleme, sanıkla hukuken mümkün iletişimi kurma ve beyanda bulunma için gerçek imkân tanınmalıdır.</w:t>
      </w:r>
    </w:p>
    <w:p>
      <w:pPr>
        <w:spacing w:after="64" w:line="247" w:lineRule="auto"/>
        <w:ind w:firstLine="317"/>
      </w:pPr>
      <w:r>
        <w:rPr>
          <w:b/>
        </w:rPr>
        <w:t xml:space="preserve">6. </w:t>
      </w:r>
      <w:r>
        <w:t>Sanığın yeniden salona alınmasına karar verilirse, yokluğunda dinlenen kişiler, açıklanan deliller, sunulan talepler ve verilen ara kararlar anlaşılır biçimde kendisine açıklanmalıdır. Sanık ile müdafiine beyan, soru ve tamamlayıcı işlem taleplerini sunma imkânı verilmeli; cevapları tutanağa geçirilmelidir.</w:t>
      </w:r>
    </w:p>
    <w:p>
      <w:pPr>
        <w:spacing w:after="64" w:line="247" w:lineRule="auto"/>
        <w:ind w:firstLine="317"/>
      </w:pPr>
      <w:r>
        <w:rPr>
          <w:b/>
        </w:rPr>
        <w:t xml:space="preserve">7. </w:t>
      </w:r>
      <w:r>
        <w:t>CMK m.204'teki açıklama güvencesi, CMK m.200/2'deki geçici çıkarma sonrası tutanakların okunması rejimiyle aynı değildir. Somut çıkarma nedeni davranış ve duruşma düzenidir. Bu nedenle olayın yanlış madde altında kaydedilmemesi ve yokluk işlemlerinin gerçek kapsamına göre açıklama yapılması gerekir.</w:t>
      </w:r>
    </w:p>
    <w:p>
      <w:pPr>
        <w:spacing w:after="64" w:line="247" w:lineRule="auto"/>
        <w:ind w:firstLine="317"/>
      </w:pPr>
      <w:r>
        <w:rPr>
          <w:b/>
        </w:rPr>
        <w:t xml:space="preserve">8. </w:t>
      </w:r>
      <w:r>
        <w:t>Çıkarma sırasında direnme veya ayrı bir karışıklık gerçekleştiği ileri sürülüyorsa bu olgu ilk davranıştan ayrılarak somut biçimde kaydedilmelidir. Böyle bir olay yoksa CMK m.203/3 koşulları gerçekleşmiş gibi disiplin hapsi sonucu üretilmemelidir. Verilmiş ayrı bir karar varsa kanun yolu ve süresi gerçek karar ve tebliğ kaydından ayrıca belirlenmelidir.</w:t>
      </w:r>
    </w:p>
    <w:p>
      <w:pPr>
        <w:spacing w:before="40"/>
      </w:pPr>
      <w:r>
        <w:rPr>
          <w:b/>
        </w:rPr>
        <w:t xml:space="preserve">HUKUKİ NEDENLER: </w:t>
      </w:r>
      <w:r>
        <w:t>Anayasa m.36; 5271 sayılı CMK m.188, 192-204, 216, 219-222 ve somut olaya uygulanabilen diğer hükümler.</w:t>
      </w:r>
    </w:p>
    <w:p>
      <w:r>
        <w:rPr>
          <w:b/>
        </w:rPr>
        <w:t xml:space="preserve">DELİLLER VE EKLER: </w:t>
      </w:r>
      <w:r>
        <w:t>İlgili celsenin tam ve imzalı tutanağı; varsa uyarı ve çıkarma kararı; gerçekten mevcut görevli veya güvenlik tutanağı; müdafi görevlendirme kaydı; yoklukta yapılan işlemleri gösteren UYAP evrak listesi; yeniden alma ve açıklama kaydı; yalnız dosyada bulunan diğer gerçek belgeler.</w:t>
      </w:r>
    </w:p>
    <w:p>
      <w:pPr>
        <w:spacing w:before="40" w:after="60"/>
      </w:pPr>
      <w:r>
        <w:rPr>
          <w:b/>
        </w:rPr>
        <w:t xml:space="preserve">SONUÇ VE İSTEM: </w:t>
      </w:r>
      <w:r>
        <w:t>Açıklanan nedenlerle; (1) [tarih] tarihli celsede çıkarma tedbirine dayanak yapılan davranışın ve duruşmanın düzenli yürütülmesine etkisinin somut biçimde tutanağa geçirilmesine, (2) sanığın hazır bulunmasının savunması bakımından zorunlu olup olmadığının dosyanın güncel durumuna göre gerekçeli olarak değerlendirilmesine, zorunluysa oturumun sanığın yokluğunda sürdürülüp bitirilmemesine, (3) müdafi yoksa barodan müdafi görevlendirilmesinin istenmesine ve müdafie gerçek hazırlık imkânı verilmesine, (4) sanık yeniden salona alınırsa yokluğunda yapılan işlemlerin ayrı ayrı açıklanmasına ve sanık ile müdafiin beyan ve taleplerinin tutanağa geçirilmesine, (5) taleplerimiz hakkında gerekçeli karar verilmesine karar verilmesini saygıyla talep ederim. [Tarih]</w:t>
      </w:r>
    </w:p>
    <w:p>
      <w:pPr>
        <w:jc w:val="right"/>
      </w:pPr>
      <w:r>
        <w:rPr>
          <w:b/>
        </w:rPr>
        <w:t>Sanık / Müdafi</w:t>
        <w:br/>
      </w:r>
      <w:r>
        <w:t>[Ad soyad ve imza]</w:t>
      </w:r>
    </w:p>
    <w:p>
      <w:pPr>
        <w:sectPr>
          <w:footerReference w:type="default" r:id="rId9"/>
          <w:pgSz w:w="12240" w:h="15840"/>
          <w:pgMar w:top="691" w:right="979" w:bottom="691" w:left="979" w:header="720" w:footer="720" w:gutter="0"/>
          <w:cols w:space="720"/>
          <w:docGrid w:linePitch="360"/>
        </w:sectPr>
      </w:pPr>
    </w:p>
    <w:p>
      <w:pPr>
        <w:pStyle w:val="Heading1"/>
        <w:jc w:val="center"/>
      </w:pPr>
      <w:r>
        <w:t>CMK 204 Uygulama ve Kayıt Çizelgesi</w:t>
      </w:r>
    </w:p>
    <w:p>
      <w:r>
        <w:t>Bu çizelge, çıkarma tedbiri ile yoklukta devam ve savunma güvencelerinin birbirinden ayrılması için kullanılır. Köşeli alanlar yalnız gerçek dosya ve duruşma kayıtlarıyla doldurulmalıdır.</w:t>
      </w:r>
    </w:p>
    <w:tbl>
      <w:tblPr>
        <w:tblStyle w:val="TableGrid"/>
        <w:tblW w:type="auto" w:w="0"/>
        <w:tblLayout w:type="fixed"/>
        <w:tblLook w:firstColumn="1" w:firstRow="1" w:lastColumn="0" w:lastRow="0" w:noHBand="0" w:noVBand="1" w:val="04A0"/>
      </w:tblPr>
      <w:tblGrid>
        <w:gridCol w:w="3427"/>
        <w:gridCol w:w="3427"/>
        <w:gridCol w:w="3427"/>
      </w:tblGrid>
      <w:tr>
        <w:trPr>
          <w:tblHeader w:val="true"/>
        </w:trPr>
        <w:tc>
          <w:tcPr>
            <w:tcW w:type="dxa" w:w="2088"/>
            <w:vAlign w:val="center"/>
            <w:tcMar>
              <w:top w:w="75" w:type="dxa"/>
              <w:start w:w="85" w:type="dxa"/>
              <w:bottom w:w="75" w:type="dxa"/>
              <w:end w:w="85" w:type="dxa"/>
            </w:tcMar>
            <w:shd w:fill="1F4E78"/>
          </w:tcPr>
          <w:p>
            <w:pPr>
              <w:jc w:val="center"/>
            </w:pPr>
            <w:r>
              <w:rPr>
                <w:rFonts w:ascii="Times New Roman" w:hAnsi="Times New Roman"/>
                <w:b/>
                <w:color w:val="FFFFFF"/>
                <w:sz w:val="16"/>
              </w:rPr>
              <w:t>Kontrol</w:t>
            </w:r>
          </w:p>
        </w:tc>
        <w:tc>
          <w:tcPr>
            <w:tcW w:type="dxa" w:w="5328"/>
            <w:vAlign w:val="center"/>
            <w:tcMar>
              <w:top w:w="75" w:type="dxa"/>
              <w:start w:w="85" w:type="dxa"/>
              <w:bottom w:w="75" w:type="dxa"/>
              <w:end w:w="85" w:type="dxa"/>
            </w:tcMar>
            <w:shd w:fill="1F4E78"/>
          </w:tcPr>
          <w:p>
            <w:pPr>
              <w:jc w:val="center"/>
            </w:pPr>
            <w:r>
              <w:rPr>
                <w:rFonts w:ascii="Times New Roman" w:hAnsi="Times New Roman"/>
                <w:b/>
                <w:color w:val="FFFFFF"/>
                <w:sz w:val="16"/>
              </w:rPr>
              <w:t>Dosyaya Yazılacak Bilgi</w:t>
            </w:r>
          </w:p>
        </w:tc>
        <w:tc>
          <w:tcPr>
            <w:tcW w:type="dxa" w:w="2520"/>
            <w:vAlign w:val="center"/>
            <w:tcMar>
              <w:top w:w="75" w:type="dxa"/>
              <w:start w:w="85" w:type="dxa"/>
              <w:bottom w:w="75" w:type="dxa"/>
              <w:end w:w="85" w:type="dxa"/>
            </w:tcMar>
            <w:shd w:fill="1F4E78"/>
          </w:tcPr>
          <w:p>
            <w:pPr>
              <w:jc w:val="center"/>
            </w:pPr>
            <w:r>
              <w:rPr>
                <w:rFonts w:ascii="Times New Roman" w:hAnsi="Times New Roman"/>
                <w:b/>
                <w:color w:val="FFFFFF"/>
                <w:sz w:val="16"/>
              </w:rPr>
              <w:t>Hukuki Amaç</w:t>
            </w:r>
          </w:p>
        </w:tc>
      </w:tr>
      <w:tr>
        <w:tc>
          <w:tcPr>
            <w:tcW w:type="dxa" w:w="2088"/>
            <w:vAlign w:val="center"/>
            <w:tcMar>
              <w:top w:w="75" w:type="dxa"/>
              <w:start w:w="85" w:type="dxa"/>
              <w:bottom w:w="75" w:type="dxa"/>
              <w:end w:w="85" w:type="dxa"/>
            </w:tcMar>
          </w:tcPr>
          <w:p>
            <w:pPr>
              <w:jc w:val="center"/>
            </w:pPr>
            <w:r>
              <w:rPr>
                <w:rFonts w:ascii="Times New Roman" w:hAnsi="Times New Roman"/>
                <w:sz w:val="15"/>
              </w:rPr>
              <w:t>Oturum</w:t>
            </w:r>
          </w:p>
        </w:tc>
        <w:tc>
          <w:tcPr>
            <w:tcW w:type="dxa" w:w="5328"/>
            <w:vAlign w:val="center"/>
            <w:tcMar>
              <w:top w:w="75" w:type="dxa"/>
              <w:start w:w="85" w:type="dxa"/>
              <w:bottom w:w="75" w:type="dxa"/>
              <w:end w:w="85" w:type="dxa"/>
            </w:tcMar>
          </w:tcPr>
          <w:p>
            <w:pPr>
              <w:jc w:val="left"/>
            </w:pPr>
            <w:r>
              <w:rPr>
                <w:rFonts w:ascii="Times New Roman" w:hAnsi="Times New Roman"/>
                <w:sz w:val="15"/>
              </w:rPr>
              <w:t>[Tarih, saat, salon, esas no]</w:t>
            </w:r>
          </w:p>
        </w:tc>
        <w:tc>
          <w:tcPr>
            <w:tcW w:type="dxa" w:w="2520"/>
            <w:vAlign w:val="center"/>
            <w:tcMar>
              <w:top w:w="75" w:type="dxa"/>
              <w:start w:w="85" w:type="dxa"/>
              <w:bottom w:w="75" w:type="dxa"/>
              <w:end w:w="85" w:type="dxa"/>
            </w:tcMar>
          </w:tcPr>
          <w:p>
            <w:pPr>
              <w:jc w:val="center"/>
            </w:pPr>
            <w:r>
              <w:rPr>
                <w:rFonts w:ascii="Times New Roman" w:hAnsi="Times New Roman"/>
                <w:sz w:val="15"/>
              </w:rPr>
              <w:t>Dosya kimliği</w:t>
            </w:r>
          </w:p>
        </w:tc>
      </w:tr>
      <w:tr>
        <w:tc>
          <w:tcPr>
            <w:tcW w:type="dxa" w:w="2088"/>
            <w:vAlign w:val="center"/>
            <w:tcMar>
              <w:top w:w="75" w:type="dxa"/>
              <w:start w:w="85" w:type="dxa"/>
              <w:bottom w:w="75" w:type="dxa"/>
              <w:end w:w="85" w:type="dxa"/>
            </w:tcMar>
            <w:shd w:fill="EAF2F8"/>
          </w:tcPr>
          <w:p>
            <w:pPr>
              <w:jc w:val="center"/>
            </w:pPr>
            <w:r>
              <w:rPr>
                <w:rFonts w:ascii="Times New Roman" w:hAnsi="Times New Roman"/>
                <w:sz w:val="15"/>
              </w:rPr>
              <w:t>Somut davranış</w:t>
            </w:r>
          </w:p>
        </w:tc>
        <w:tc>
          <w:tcPr>
            <w:tcW w:type="dxa" w:w="5328"/>
            <w:vAlign w:val="center"/>
            <w:tcMar>
              <w:top w:w="75" w:type="dxa"/>
              <w:start w:w="85" w:type="dxa"/>
              <w:bottom w:w="75" w:type="dxa"/>
              <w:end w:w="85" w:type="dxa"/>
            </w:tcMar>
            <w:shd w:fill="EAF2F8"/>
          </w:tcPr>
          <w:p>
            <w:pPr>
              <w:jc w:val="left"/>
            </w:pPr>
            <w:r>
              <w:rPr>
                <w:rFonts w:ascii="Times New Roman" w:hAnsi="Times New Roman"/>
                <w:sz w:val="15"/>
              </w:rPr>
              <w:t>[Söz/hareket, muhatap ve zaman]</w:t>
            </w:r>
          </w:p>
        </w:tc>
        <w:tc>
          <w:tcPr>
            <w:tcW w:type="dxa" w:w="2520"/>
            <w:vAlign w:val="center"/>
            <w:tcMar>
              <w:top w:w="75" w:type="dxa"/>
              <w:start w:w="85" w:type="dxa"/>
              <w:bottom w:w="75" w:type="dxa"/>
              <w:end w:w="85" w:type="dxa"/>
            </w:tcMar>
            <w:shd w:fill="EAF2F8"/>
          </w:tcPr>
          <w:p>
            <w:pPr>
              <w:jc w:val="center"/>
            </w:pPr>
            <w:r>
              <w:rPr>
                <w:rFonts w:ascii="Times New Roman" w:hAnsi="Times New Roman"/>
                <w:sz w:val="15"/>
              </w:rPr>
              <w:t>CMK 204 eşiği</w:t>
            </w:r>
          </w:p>
        </w:tc>
      </w:tr>
      <w:tr>
        <w:tc>
          <w:tcPr>
            <w:tcW w:type="dxa" w:w="2088"/>
            <w:vAlign w:val="center"/>
            <w:tcMar>
              <w:top w:w="75" w:type="dxa"/>
              <w:start w:w="85" w:type="dxa"/>
              <w:bottom w:w="75" w:type="dxa"/>
              <w:end w:w="85" w:type="dxa"/>
            </w:tcMar>
          </w:tcPr>
          <w:p>
            <w:pPr>
              <w:jc w:val="center"/>
            </w:pPr>
            <w:r>
              <w:rPr>
                <w:rFonts w:ascii="Times New Roman" w:hAnsi="Times New Roman"/>
                <w:sz w:val="15"/>
              </w:rPr>
              <w:t>Düzen etkisi</w:t>
            </w:r>
          </w:p>
        </w:tc>
        <w:tc>
          <w:tcPr>
            <w:tcW w:type="dxa" w:w="5328"/>
            <w:vAlign w:val="center"/>
            <w:tcMar>
              <w:top w:w="75" w:type="dxa"/>
              <w:start w:w="85" w:type="dxa"/>
              <w:bottom w:w="75" w:type="dxa"/>
              <w:end w:w="85" w:type="dxa"/>
            </w:tcMar>
          </w:tcPr>
          <w:p>
            <w:pPr>
              <w:jc w:val="left"/>
            </w:pPr>
            <w:r>
              <w:rPr>
                <w:rFonts w:ascii="Times New Roman" w:hAnsi="Times New Roman"/>
                <w:sz w:val="15"/>
              </w:rPr>
              <w:t>[Kesilen işlem veya somut risk]</w:t>
            </w:r>
          </w:p>
        </w:tc>
        <w:tc>
          <w:tcPr>
            <w:tcW w:type="dxa" w:w="2520"/>
            <w:vAlign w:val="center"/>
            <w:tcMar>
              <w:top w:w="75" w:type="dxa"/>
              <w:start w:w="85" w:type="dxa"/>
              <w:bottom w:w="75" w:type="dxa"/>
              <w:end w:w="85" w:type="dxa"/>
            </w:tcMar>
          </w:tcPr>
          <w:p>
            <w:pPr>
              <w:jc w:val="center"/>
            </w:pPr>
            <w:r>
              <w:rPr>
                <w:rFonts w:ascii="Times New Roman" w:hAnsi="Times New Roman"/>
                <w:sz w:val="15"/>
              </w:rPr>
              <w:t>Gereklilik</w:t>
            </w:r>
          </w:p>
        </w:tc>
      </w:tr>
      <w:tr>
        <w:tc>
          <w:tcPr>
            <w:tcW w:type="dxa" w:w="2088"/>
            <w:vAlign w:val="center"/>
            <w:tcMar>
              <w:top w:w="75" w:type="dxa"/>
              <w:start w:w="85" w:type="dxa"/>
              <w:bottom w:w="75" w:type="dxa"/>
              <w:end w:w="85" w:type="dxa"/>
            </w:tcMar>
            <w:shd w:fill="EAF2F8"/>
          </w:tcPr>
          <w:p>
            <w:pPr>
              <w:jc w:val="center"/>
            </w:pPr>
            <w:r>
              <w:rPr>
                <w:rFonts w:ascii="Times New Roman" w:hAnsi="Times New Roman"/>
                <w:sz w:val="15"/>
              </w:rPr>
              <w:t>Uyarı</w:t>
            </w:r>
          </w:p>
        </w:tc>
        <w:tc>
          <w:tcPr>
            <w:tcW w:type="dxa" w:w="5328"/>
            <w:vAlign w:val="center"/>
            <w:tcMar>
              <w:top w:w="75" w:type="dxa"/>
              <w:start w:w="85" w:type="dxa"/>
              <w:bottom w:w="75" w:type="dxa"/>
              <w:end w:w="85" w:type="dxa"/>
            </w:tcMar>
            <w:shd w:fill="EAF2F8"/>
          </w:tcPr>
          <w:p>
            <w:pPr>
              <w:jc w:val="left"/>
            </w:pPr>
            <w:r>
              <w:rPr>
                <w:rFonts w:ascii="Times New Roman" w:hAnsi="Times New Roman"/>
                <w:sz w:val="15"/>
              </w:rPr>
              <w:t>[Varsa tam içeriği ve cevap]</w:t>
            </w:r>
          </w:p>
        </w:tc>
        <w:tc>
          <w:tcPr>
            <w:tcW w:type="dxa" w:w="2520"/>
            <w:vAlign w:val="center"/>
            <w:tcMar>
              <w:top w:w="75" w:type="dxa"/>
              <w:start w:w="85" w:type="dxa"/>
              <w:bottom w:w="75" w:type="dxa"/>
              <w:end w:w="85" w:type="dxa"/>
            </w:tcMar>
            <w:shd w:fill="EAF2F8"/>
          </w:tcPr>
          <w:p>
            <w:pPr>
              <w:jc w:val="center"/>
            </w:pPr>
            <w:r>
              <w:rPr>
                <w:rFonts w:ascii="Times New Roman" w:hAnsi="Times New Roman"/>
                <w:sz w:val="15"/>
              </w:rPr>
              <w:t>Ölçülülük</w:t>
            </w:r>
          </w:p>
        </w:tc>
      </w:tr>
      <w:tr>
        <w:tc>
          <w:tcPr>
            <w:tcW w:type="dxa" w:w="2088"/>
            <w:vAlign w:val="center"/>
            <w:tcMar>
              <w:top w:w="75" w:type="dxa"/>
              <w:start w:w="85" w:type="dxa"/>
              <w:bottom w:w="75" w:type="dxa"/>
              <w:end w:w="85" w:type="dxa"/>
            </w:tcMar>
          </w:tcPr>
          <w:p>
            <w:pPr>
              <w:jc w:val="center"/>
            </w:pPr>
            <w:r>
              <w:rPr>
                <w:rFonts w:ascii="Times New Roman" w:hAnsi="Times New Roman"/>
                <w:sz w:val="15"/>
              </w:rPr>
              <w:t>Çıkarma</w:t>
            </w:r>
          </w:p>
        </w:tc>
        <w:tc>
          <w:tcPr>
            <w:tcW w:type="dxa" w:w="5328"/>
            <w:vAlign w:val="center"/>
            <w:tcMar>
              <w:top w:w="75" w:type="dxa"/>
              <w:start w:w="85" w:type="dxa"/>
              <w:bottom w:w="75" w:type="dxa"/>
              <w:end w:w="85" w:type="dxa"/>
            </w:tcMar>
          </w:tcPr>
          <w:p>
            <w:pPr>
              <w:jc w:val="left"/>
            </w:pPr>
            <w:r>
              <w:rPr>
                <w:rFonts w:ascii="Times New Roman" w:hAnsi="Times New Roman"/>
                <w:sz w:val="15"/>
              </w:rPr>
              <w:t>[Emir, gerekçe, saat]</w:t>
            </w:r>
          </w:p>
        </w:tc>
        <w:tc>
          <w:tcPr>
            <w:tcW w:type="dxa" w:w="2520"/>
            <w:vAlign w:val="center"/>
            <w:tcMar>
              <w:top w:w="75" w:type="dxa"/>
              <w:start w:w="85" w:type="dxa"/>
              <w:bottom w:w="75" w:type="dxa"/>
              <w:end w:w="85" w:type="dxa"/>
            </w:tcMar>
          </w:tcPr>
          <w:p>
            <w:pPr>
              <w:jc w:val="center"/>
            </w:pPr>
            <w:r>
              <w:rPr>
                <w:rFonts w:ascii="Times New Roman" w:hAnsi="Times New Roman"/>
                <w:sz w:val="15"/>
              </w:rPr>
              <w:t>Başlangıç</w:t>
            </w:r>
          </w:p>
        </w:tc>
      </w:tr>
      <w:tr>
        <w:tc>
          <w:tcPr>
            <w:tcW w:type="dxa" w:w="2088"/>
            <w:vAlign w:val="center"/>
            <w:tcMar>
              <w:top w:w="75" w:type="dxa"/>
              <w:start w:w="85" w:type="dxa"/>
              <w:bottom w:w="75" w:type="dxa"/>
              <w:end w:w="85" w:type="dxa"/>
            </w:tcMar>
            <w:shd w:fill="EAF2F8"/>
          </w:tcPr>
          <w:p>
            <w:pPr>
              <w:jc w:val="center"/>
            </w:pPr>
            <w:r>
              <w:rPr>
                <w:rFonts w:ascii="Times New Roman" w:hAnsi="Times New Roman"/>
                <w:sz w:val="15"/>
              </w:rPr>
              <w:t>Yokluk işlemleri</w:t>
            </w:r>
          </w:p>
        </w:tc>
        <w:tc>
          <w:tcPr>
            <w:tcW w:type="dxa" w:w="5328"/>
            <w:vAlign w:val="center"/>
            <w:tcMar>
              <w:top w:w="75" w:type="dxa"/>
              <w:start w:w="85" w:type="dxa"/>
              <w:bottom w:w="75" w:type="dxa"/>
              <w:end w:w="85" w:type="dxa"/>
            </w:tcMar>
            <w:shd w:fill="EAF2F8"/>
          </w:tcPr>
          <w:p>
            <w:pPr>
              <w:jc w:val="left"/>
            </w:pPr>
            <w:r>
              <w:rPr>
                <w:rFonts w:ascii="Times New Roman" w:hAnsi="Times New Roman"/>
                <w:sz w:val="15"/>
              </w:rPr>
              <w:t>[Tanık, belge, rapor, talep, karar]</w:t>
            </w:r>
          </w:p>
        </w:tc>
        <w:tc>
          <w:tcPr>
            <w:tcW w:type="dxa" w:w="2520"/>
            <w:vAlign w:val="center"/>
            <w:tcMar>
              <w:top w:w="75" w:type="dxa"/>
              <w:start w:w="85" w:type="dxa"/>
              <w:bottom w:w="75" w:type="dxa"/>
              <w:end w:w="85" w:type="dxa"/>
            </w:tcMar>
            <w:shd w:fill="EAF2F8"/>
          </w:tcPr>
          <w:p>
            <w:pPr>
              <w:jc w:val="center"/>
            </w:pPr>
            <w:r>
              <w:rPr>
                <w:rFonts w:ascii="Times New Roman" w:hAnsi="Times New Roman"/>
                <w:sz w:val="15"/>
              </w:rPr>
              <w:t>Açıklama kapsamı</w:t>
            </w:r>
          </w:p>
        </w:tc>
      </w:tr>
      <w:tr>
        <w:tc>
          <w:tcPr>
            <w:tcW w:type="dxa" w:w="2088"/>
            <w:vAlign w:val="center"/>
            <w:tcMar>
              <w:top w:w="75" w:type="dxa"/>
              <w:start w:w="85" w:type="dxa"/>
              <w:bottom w:w="75" w:type="dxa"/>
              <w:end w:w="85" w:type="dxa"/>
            </w:tcMar>
          </w:tcPr>
          <w:p>
            <w:pPr>
              <w:jc w:val="center"/>
            </w:pPr>
            <w:r>
              <w:rPr>
                <w:rFonts w:ascii="Times New Roman" w:hAnsi="Times New Roman"/>
                <w:sz w:val="15"/>
              </w:rPr>
              <w:t>Hazır bulunma</w:t>
            </w:r>
          </w:p>
        </w:tc>
        <w:tc>
          <w:tcPr>
            <w:tcW w:type="dxa" w:w="5328"/>
            <w:vAlign w:val="center"/>
            <w:tcMar>
              <w:top w:w="75" w:type="dxa"/>
              <w:start w:w="85" w:type="dxa"/>
              <w:bottom w:w="75" w:type="dxa"/>
              <w:end w:w="85" w:type="dxa"/>
            </w:tcMar>
          </w:tcPr>
          <w:p>
            <w:pPr>
              <w:jc w:val="left"/>
            </w:pPr>
            <w:r>
              <w:rPr>
                <w:rFonts w:ascii="Times New Roman" w:hAnsi="Times New Roman"/>
                <w:sz w:val="15"/>
              </w:rPr>
              <w:t>[Neden zorunlu / zorunlu değil]</w:t>
            </w:r>
          </w:p>
        </w:tc>
        <w:tc>
          <w:tcPr>
            <w:tcW w:type="dxa" w:w="2520"/>
            <w:vAlign w:val="center"/>
            <w:tcMar>
              <w:top w:w="75" w:type="dxa"/>
              <w:start w:w="85" w:type="dxa"/>
              <w:bottom w:w="75" w:type="dxa"/>
              <w:end w:w="85" w:type="dxa"/>
            </w:tcMar>
          </w:tcPr>
          <w:p>
            <w:pPr>
              <w:jc w:val="center"/>
            </w:pPr>
            <w:r>
              <w:rPr>
                <w:rFonts w:ascii="Times New Roman" w:hAnsi="Times New Roman"/>
                <w:sz w:val="15"/>
              </w:rPr>
              <w:t>Savunma denetimi</w:t>
            </w:r>
          </w:p>
        </w:tc>
      </w:tr>
      <w:tr>
        <w:tc>
          <w:tcPr>
            <w:tcW w:type="dxa" w:w="2088"/>
            <w:vAlign w:val="center"/>
            <w:tcMar>
              <w:top w:w="75" w:type="dxa"/>
              <w:start w:w="85" w:type="dxa"/>
              <w:bottom w:w="75" w:type="dxa"/>
              <w:end w:w="85" w:type="dxa"/>
            </w:tcMar>
            <w:shd w:fill="EAF2F8"/>
          </w:tcPr>
          <w:p>
            <w:pPr>
              <w:jc w:val="center"/>
            </w:pPr>
            <w:r>
              <w:rPr>
                <w:rFonts w:ascii="Times New Roman" w:hAnsi="Times New Roman"/>
                <w:sz w:val="15"/>
              </w:rPr>
              <w:t>Müdafi</w:t>
            </w:r>
          </w:p>
        </w:tc>
        <w:tc>
          <w:tcPr>
            <w:tcW w:type="dxa" w:w="5328"/>
            <w:vAlign w:val="center"/>
            <w:tcMar>
              <w:top w:w="75" w:type="dxa"/>
              <w:start w:w="85" w:type="dxa"/>
              <w:bottom w:w="75" w:type="dxa"/>
              <w:end w:w="85" w:type="dxa"/>
            </w:tcMar>
            <w:shd w:fill="EAF2F8"/>
          </w:tcPr>
          <w:p>
            <w:pPr>
              <w:jc w:val="left"/>
            </w:pPr>
            <w:r>
              <w:rPr>
                <w:rFonts w:ascii="Times New Roman" w:hAnsi="Times New Roman"/>
                <w:sz w:val="15"/>
              </w:rPr>
              <w:t>[Mevcut / baro istemi / katılım saati]</w:t>
            </w:r>
          </w:p>
        </w:tc>
        <w:tc>
          <w:tcPr>
            <w:tcW w:type="dxa" w:w="2520"/>
            <w:vAlign w:val="center"/>
            <w:tcMar>
              <w:top w:w="75" w:type="dxa"/>
              <w:start w:w="85" w:type="dxa"/>
              <w:bottom w:w="75" w:type="dxa"/>
              <w:end w:w="85" w:type="dxa"/>
            </w:tcMar>
            <w:shd w:fill="EAF2F8"/>
          </w:tcPr>
          <w:p>
            <w:pPr>
              <w:jc w:val="center"/>
            </w:pPr>
            <w:r>
              <w:rPr>
                <w:rFonts w:ascii="Times New Roman" w:hAnsi="Times New Roman"/>
                <w:sz w:val="15"/>
              </w:rPr>
              <w:t>CMK 204 güvencesi</w:t>
            </w:r>
          </w:p>
        </w:tc>
      </w:tr>
      <w:tr>
        <w:tc>
          <w:tcPr>
            <w:tcW w:type="dxa" w:w="2088"/>
            <w:vAlign w:val="center"/>
            <w:tcMar>
              <w:top w:w="75" w:type="dxa"/>
              <w:start w:w="85" w:type="dxa"/>
              <w:bottom w:w="75" w:type="dxa"/>
              <w:end w:w="85" w:type="dxa"/>
            </w:tcMar>
          </w:tcPr>
          <w:p>
            <w:pPr>
              <w:jc w:val="center"/>
            </w:pPr>
            <w:r>
              <w:rPr>
                <w:rFonts w:ascii="Times New Roman" w:hAnsi="Times New Roman"/>
                <w:sz w:val="15"/>
              </w:rPr>
              <w:t>Yeniden alma</w:t>
            </w:r>
          </w:p>
        </w:tc>
        <w:tc>
          <w:tcPr>
            <w:tcW w:type="dxa" w:w="5328"/>
            <w:vAlign w:val="center"/>
            <w:tcMar>
              <w:top w:w="75" w:type="dxa"/>
              <w:start w:w="85" w:type="dxa"/>
              <w:bottom w:w="75" w:type="dxa"/>
              <w:end w:w="85" w:type="dxa"/>
            </w:tcMar>
          </w:tcPr>
          <w:p>
            <w:pPr>
              <w:jc w:val="left"/>
            </w:pPr>
            <w:r>
              <w:rPr>
                <w:rFonts w:ascii="Times New Roman" w:hAnsi="Times New Roman"/>
                <w:sz w:val="15"/>
              </w:rPr>
              <w:t>[Karar ve saat]</w:t>
            </w:r>
          </w:p>
        </w:tc>
        <w:tc>
          <w:tcPr>
            <w:tcW w:type="dxa" w:w="2520"/>
            <w:vAlign w:val="center"/>
            <w:tcMar>
              <w:top w:w="75" w:type="dxa"/>
              <w:start w:w="85" w:type="dxa"/>
              <w:bottom w:w="75" w:type="dxa"/>
              <w:end w:w="85" w:type="dxa"/>
            </w:tcMar>
          </w:tcPr>
          <w:p>
            <w:pPr>
              <w:jc w:val="center"/>
            </w:pPr>
            <w:r>
              <w:rPr>
                <w:rFonts w:ascii="Times New Roman" w:hAnsi="Times New Roman"/>
                <w:sz w:val="15"/>
              </w:rPr>
              <w:t>Dönüş</w:t>
            </w:r>
          </w:p>
        </w:tc>
      </w:tr>
      <w:tr>
        <w:tc>
          <w:tcPr>
            <w:tcW w:type="dxa" w:w="2088"/>
            <w:vAlign w:val="center"/>
            <w:tcMar>
              <w:top w:w="75" w:type="dxa"/>
              <w:start w:w="85" w:type="dxa"/>
              <w:bottom w:w="75" w:type="dxa"/>
              <w:end w:w="85" w:type="dxa"/>
            </w:tcMar>
            <w:shd w:fill="EAF2F8"/>
          </w:tcPr>
          <w:p>
            <w:pPr>
              <w:jc w:val="center"/>
            </w:pPr>
            <w:r>
              <w:rPr>
                <w:rFonts w:ascii="Times New Roman" w:hAnsi="Times New Roman"/>
                <w:sz w:val="15"/>
              </w:rPr>
              <w:t>Açıklama</w:t>
            </w:r>
          </w:p>
        </w:tc>
        <w:tc>
          <w:tcPr>
            <w:tcW w:type="dxa" w:w="5328"/>
            <w:vAlign w:val="center"/>
            <w:tcMar>
              <w:top w:w="75" w:type="dxa"/>
              <w:start w:w="85" w:type="dxa"/>
              <w:bottom w:w="75" w:type="dxa"/>
              <w:end w:w="85" w:type="dxa"/>
            </w:tcMar>
            <w:shd w:fill="EAF2F8"/>
          </w:tcPr>
          <w:p>
            <w:pPr>
              <w:jc w:val="left"/>
            </w:pPr>
            <w:r>
              <w:rPr>
                <w:rFonts w:ascii="Times New Roman" w:hAnsi="Times New Roman"/>
                <w:sz w:val="15"/>
              </w:rPr>
              <w:t>[Yokluk işlemlerinin nasıl açıklandığı]</w:t>
            </w:r>
          </w:p>
        </w:tc>
        <w:tc>
          <w:tcPr>
            <w:tcW w:type="dxa" w:w="2520"/>
            <w:vAlign w:val="center"/>
            <w:tcMar>
              <w:top w:w="75" w:type="dxa"/>
              <w:start w:w="85" w:type="dxa"/>
              <w:bottom w:w="75" w:type="dxa"/>
              <w:end w:w="85" w:type="dxa"/>
            </w:tcMar>
            <w:shd w:fill="EAF2F8"/>
          </w:tcPr>
          <w:p>
            <w:pPr>
              <w:jc w:val="center"/>
            </w:pPr>
            <w:r>
              <w:rPr>
                <w:rFonts w:ascii="Times New Roman" w:hAnsi="Times New Roman"/>
                <w:sz w:val="15"/>
              </w:rPr>
              <w:t>Bilgilendirme</w:t>
            </w:r>
          </w:p>
        </w:tc>
      </w:tr>
      <w:tr>
        <w:tc>
          <w:tcPr>
            <w:tcW w:type="dxa" w:w="2088"/>
            <w:vAlign w:val="center"/>
            <w:tcMar>
              <w:top w:w="75" w:type="dxa"/>
              <w:start w:w="85" w:type="dxa"/>
              <w:bottom w:w="75" w:type="dxa"/>
              <w:end w:w="85" w:type="dxa"/>
            </w:tcMar>
          </w:tcPr>
          <w:p>
            <w:pPr>
              <w:jc w:val="center"/>
            </w:pPr>
            <w:r>
              <w:rPr>
                <w:rFonts w:ascii="Times New Roman" w:hAnsi="Times New Roman"/>
                <w:sz w:val="15"/>
              </w:rPr>
              <w:t>Savunma cevabı</w:t>
            </w:r>
          </w:p>
        </w:tc>
        <w:tc>
          <w:tcPr>
            <w:tcW w:type="dxa" w:w="5328"/>
            <w:vAlign w:val="center"/>
            <w:tcMar>
              <w:top w:w="75" w:type="dxa"/>
              <w:start w:w="85" w:type="dxa"/>
              <w:bottom w:w="75" w:type="dxa"/>
              <w:end w:w="85" w:type="dxa"/>
            </w:tcMar>
          </w:tcPr>
          <w:p>
            <w:pPr>
              <w:jc w:val="left"/>
            </w:pPr>
            <w:r>
              <w:rPr>
                <w:rFonts w:ascii="Times New Roman" w:hAnsi="Times New Roman"/>
                <w:sz w:val="15"/>
              </w:rPr>
              <w:t>[Beyan, soru ve tamamlayıcı talep]</w:t>
            </w:r>
          </w:p>
        </w:tc>
        <w:tc>
          <w:tcPr>
            <w:tcW w:type="dxa" w:w="2520"/>
            <w:vAlign w:val="center"/>
            <w:tcMar>
              <w:top w:w="75" w:type="dxa"/>
              <w:start w:w="85" w:type="dxa"/>
              <w:bottom w:w="75" w:type="dxa"/>
              <w:end w:w="85" w:type="dxa"/>
            </w:tcMar>
          </w:tcPr>
          <w:p>
            <w:pPr>
              <w:jc w:val="center"/>
            </w:pPr>
            <w:r>
              <w:rPr>
                <w:rFonts w:ascii="Times New Roman" w:hAnsi="Times New Roman"/>
                <w:sz w:val="15"/>
              </w:rPr>
              <w:t>Etkili katılım</w:t>
            </w:r>
          </w:p>
        </w:tc>
      </w:tr>
      <w:tr>
        <w:tc>
          <w:tcPr>
            <w:tcW w:type="dxa" w:w="2088"/>
            <w:vAlign w:val="center"/>
            <w:tcMar>
              <w:top w:w="75" w:type="dxa"/>
              <w:start w:w="85" w:type="dxa"/>
              <w:bottom w:w="75" w:type="dxa"/>
              <w:end w:w="85" w:type="dxa"/>
            </w:tcMar>
            <w:shd w:fill="EAF2F8"/>
          </w:tcPr>
          <w:p>
            <w:pPr>
              <w:jc w:val="center"/>
            </w:pPr>
            <w:r>
              <w:rPr>
                <w:rFonts w:ascii="Times New Roman" w:hAnsi="Times New Roman"/>
                <w:sz w:val="15"/>
              </w:rPr>
              <w:t>Tutanak yeri</w:t>
            </w:r>
          </w:p>
        </w:tc>
        <w:tc>
          <w:tcPr>
            <w:tcW w:type="dxa" w:w="5328"/>
            <w:vAlign w:val="center"/>
            <w:tcMar>
              <w:top w:w="75" w:type="dxa"/>
              <w:start w:w="85" w:type="dxa"/>
              <w:bottom w:w="75" w:type="dxa"/>
              <w:end w:w="85" w:type="dxa"/>
            </w:tcMar>
            <w:shd w:fill="EAF2F8"/>
          </w:tcPr>
          <w:p>
            <w:pPr>
              <w:jc w:val="left"/>
            </w:pPr>
            <w:r>
              <w:rPr>
                <w:rFonts w:ascii="Times New Roman" w:hAnsi="Times New Roman"/>
                <w:sz w:val="15"/>
              </w:rPr>
              <w:t>[Sayfa, paragraf ve evrak no]</w:t>
            </w:r>
          </w:p>
        </w:tc>
        <w:tc>
          <w:tcPr>
            <w:tcW w:type="dxa" w:w="2520"/>
            <w:vAlign w:val="center"/>
            <w:tcMar>
              <w:top w:w="75" w:type="dxa"/>
              <w:start w:w="85" w:type="dxa"/>
              <w:bottom w:w="75" w:type="dxa"/>
              <w:end w:w="85" w:type="dxa"/>
            </w:tcMar>
            <w:shd w:fill="EAF2F8"/>
          </w:tcPr>
          <w:p>
            <w:pPr>
              <w:jc w:val="center"/>
            </w:pPr>
            <w:r>
              <w:rPr>
                <w:rFonts w:ascii="Times New Roman" w:hAnsi="Times New Roman"/>
                <w:sz w:val="15"/>
              </w:rPr>
              <w:t>Denetlenebilirlik</w:t>
            </w:r>
          </w:p>
        </w:tc>
      </w:tr>
    </w:tbl>
    <w:p>
      <w:pPr>
        <w:pStyle w:val="Heading1"/>
      </w:pPr>
      <w:r>
        <w:t>Kullanım Notları</w:t>
      </w:r>
    </w:p>
    <w:p>
      <w:pPr>
        <w:pStyle w:val="ListBullet"/>
        <w:spacing w:after="40"/>
      </w:pPr>
      <w:r>
        <w:t>Çıkarma, yoklukta devam ve disiplin hapsi aynı işlem değildir.</w:t>
      </w:r>
    </w:p>
    <w:p>
      <w:pPr>
        <w:pStyle w:val="ListBullet"/>
        <w:spacing w:after="40"/>
      </w:pPr>
      <w:r>
        <w:t>Sanığın hazır bulunmasının savunma bakımından zorunlu olup olmadığı ayrıca karara bağlanmalıdır.</w:t>
      </w:r>
    </w:p>
    <w:p>
      <w:pPr>
        <w:pStyle w:val="ListBullet"/>
        <w:spacing w:after="40"/>
      </w:pPr>
      <w:r>
        <w:t>Müdafi yoksa barodan görevlendirme istemi dosyada izlenebilir olmalıdır.</w:t>
      </w:r>
    </w:p>
    <w:p>
      <w:pPr>
        <w:pStyle w:val="ListBullet"/>
        <w:spacing w:after="40"/>
      </w:pPr>
      <w:r>
        <w:t>Yeniden alınan sanığa yokluğunda yapılan işlemler açıklanmalı ve cevap imkânı tanınmalıdır.</w:t>
      </w:r>
    </w:p>
    <w:p>
      <w:pPr>
        <w:pStyle w:val="ListBullet"/>
        <w:spacing w:after="40"/>
      </w:pPr>
      <w:r>
        <w:t>Görülmemiş bir uyarı, direnme, güvenlik işlemi veya delil gerçekleşmiş gibi yazılmamalıdır.</w:t>
      </w:r>
    </w:p>
    <w:sectPr w:rsidR="00FC693F" w:rsidRPr="0006063C" w:rsidSect="00034616">
      <w:footerReference w:type="default" r:id="rId10"/>
      <w:pgSz w:w="12240" w:h="15840"/>
      <w:pgMar w:top="691" w:right="979" w:bottom="691"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gerçek dosya ve duruşma kayıtlarına uyarlanmalıdır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gerçek dosya ve duruşma kayıtlarına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6" w:line="240" w:lineRule="auto"/>
    </w:pPr>
    <w:rPr>
      <w:rFonts w:ascii="Times New Roman" w:hAnsi="Times New Roman" w:eastAsia="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5"/>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204 Salondan Çıkarılan Sanığın Savunma Güvenceleri Dilekçesi</dc:title>
  <dc:subject>Ceza muhakemesi dilekçe örneği</dc:subject>
  <dc:creator>Av. Halil Bakırcı</dc:creator>
  <cp:keywords>CMK 204, sanığın salondan çıkarılması, müdafi görevlendirme, yoklukta devam</cp:keywords>
  <dc:description>generated by python-docx</dc:description>
  <cp:lastModifiedBy/>
  <cp:revision>1</cp:revision>
  <dcterms:created xsi:type="dcterms:W3CDTF">2013-12-23T23:15:00Z</dcterms:created>
  <dcterms:modified xsi:type="dcterms:W3CDTF">2013-12-23T23:15:00Z</dcterms:modified>
  <cp:category/>
</cp:coreProperties>
</file>