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CMK 206/1 Sonradan Gelen Sanığa Delillerin Bildirilmesi Talebi</w:t>
      </w:r>
    </w:p>
    <w:p>
      <w:pPr>
        <w:spacing w:after="80"/>
        <w:jc w:val="center"/>
      </w:pPr>
      <w:r>
        <w:rPr>
          <w:b/>
          <w:sz w:val="20"/>
        </w:rPr>
        <w:t>[YARGILAMAYI YÜRÜTEN CEZA MAHKEMESİNE]</w:t>
      </w:r>
    </w:p>
    <w:p>
      <w:pPr>
        <w:spacing w:after="30"/>
      </w:pPr>
      <w:r>
        <w:rPr>
          <w:b/>
        </w:rPr>
        <w:t xml:space="preserve">ESAS NO: </w:t>
      </w:r>
      <w:r>
        <w:t>[Gerçek esas numarası]</w:t>
      </w:r>
    </w:p>
    <w:p>
      <w:pPr>
        <w:spacing w:after="30"/>
      </w:pPr>
      <w:r>
        <w:rPr>
          <w:b/>
        </w:rPr>
        <w:t xml:space="preserve">TALEPTE BULUNAN SANIK: </w:t>
      </w:r>
      <w:r>
        <w:t>[Ad soyad, T.C. kimlik no ve tebligat adresi]</w:t>
      </w:r>
    </w:p>
    <w:p>
      <w:pPr>
        <w:spacing w:after="30"/>
      </w:pPr>
      <w:r>
        <w:rPr>
          <w:b/>
        </w:rPr>
        <w:t xml:space="preserve">MÜDAFİİ: </w:t>
      </w:r>
      <w:r>
        <w:t>[Avukat adı, baro, sicil ve adres; yoksa çıkarınız]</w:t>
      </w:r>
    </w:p>
    <w:p>
      <w:pPr>
        <w:spacing w:before="40" w:after="60"/>
      </w:pPr>
      <w:r>
        <w:rPr>
          <w:b/>
        </w:rPr>
        <w:t xml:space="preserve">KONU: </w:t>
      </w:r>
      <w:r>
        <w:t>Sanığın bulunmadığı [tarih/tarihler] oturumlarında CMK m.206/1 uyarınca ortaya konulan delillerin açık listesiyle bildirilmesi, erişim ve açıklama imkânı sağlanması, somut ek işlem taleplerimizin değerlendirilmesi ve bütün işlemlerin celse tutanağına geçirilmesi istemidir.</w:t>
      </w:r>
    </w:p>
    <w:p>
      <w:pPr>
        <w:pStyle w:val="Heading1"/>
      </w:pPr>
      <w:r>
        <w:t>AÇIKLAMALAR</w:t>
      </w:r>
    </w:p>
    <w:p>
      <w:pPr>
        <w:spacing w:after="60" w:line="245" w:lineRule="auto"/>
        <w:ind w:firstLine="317"/>
      </w:pPr>
      <w:r>
        <w:rPr>
          <w:b/>
        </w:rPr>
        <w:t xml:space="preserve">1. </w:t>
      </w:r>
      <w:r>
        <w:t>Mahkemenizin [esas no] sayılı dosyasında sanık [ad soyad], [tebliğ tarihi] tarihli [tebliğ belgesinin kimliği] ile [duruşma tarihi] oturumuna çağrılmıştır. Sanığın o oturumda bulunmama nedeni ve dosyadaki mazeret kaydı şöyledir: “[Gerçek kayıt]”. Mahkemenin mazeret hakkındaki ara kararı “[tarih ve kararın gerçek özeti]” biçimindedir.</w:t>
      </w:r>
    </w:p>
    <w:p>
      <w:pPr>
        <w:spacing w:after="60" w:line="245" w:lineRule="auto"/>
        <w:ind w:firstLine="317"/>
      </w:pPr>
      <w:r>
        <w:rPr>
          <w:b/>
        </w:rPr>
        <w:t xml:space="preserve">2. </w:t>
      </w:r>
      <w:r>
        <w:t>Sanığın sorgusu [gerçek neden] sebebiyle yapılamamıştır. Mahkeme [tarih] tarihli celsede CMK m.206/1 kapsamında delillerin ortaya konulmasına başlamış ve sanığın yokluğunda şu işlemleri yapmıştır: [tanık adı ve tutanak yeri], [bilirkişi/rapor tarihi ve evrak no], [belge veya dijital kaydın açık kimliği]. Bu liste yalnız gerçek dosya ve celse tutanaklarına dayanmaktadır.</w:t>
      </w:r>
    </w:p>
    <w:p>
      <w:pPr>
        <w:spacing w:after="60" w:line="245" w:lineRule="auto"/>
        <w:ind w:firstLine="317"/>
      </w:pPr>
      <w:r>
        <w:rPr>
          <w:b/>
        </w:rPr>
        <w:t xml:space="preserve">3. </w:t>
      </w:r>
      <w:r>
        <w:t>Sanık [sonradan geldiği tarih] tarihli oturumda hazır bulunmuştur. Yokluğunda ortaya konulan deliller kendisine [bildirim yapıldıysa gerçek kapsamı / yapılmadıysa açık listesiyle bildirilmediği] biçiminde bildirilmiştir. “[Önceki celseler okundu]” kaydı bulunuyorsa hangi delillerin hangi kapsamda ortaya konulduğu bu ifadeden tek tek anlaşılamamaktadır.</w:t>
      </w:r>
    </w:p>
    <w:p>
      <w:pPr>
        <w:spacing w:after="60" w:line="245" w:lineRule="auto"/>
        <w:ind w:firstLine="317"/>
      </w:pPr>
      <w:r>
        <w:rPr>
          <w:b/>
        </w:rPr>
        <w:t xml:space="preserve">4. </w:t>
      </w:r>
      <w:r>
        <w:t>CMK m.206/1, tebligata rağmen mazeretsiz gelmeme nedeniyle sorgu yapılamadığında delillere geçilebilmesine izin verirken ortaya konulan delillerin sonradan gelen sanığa bildirilmesini emretmektedir. [Tanık, rapor, belge veya kayıt] için ad, tarih, evrak numarası, celse ve incelenen bölüm gösterilerek bildirim yapılmasını talep ediyoruz.</w:t>
      </w:r>
    </w:p>
    <w:p>
      <w:pPr>
        <w:spacing w:after="60" w:line="245" w:lineRule="auto"/>
        <w:ind w:firstLine="317"/>
      </w:pPr>
      <w:r>
        <w:rPr>
          <w:b/>
        </w:rPr>
        <w:t xml:space="preserve">5. </w:t>
      </w:r>
      <w:r>
        <w:t>Bildirimin etkili olabilmesi için [belirli rapor veya kayıt] örneğine erişim sağlanması ve [hacim/teknik nitelik] nedeniyle açıklama hazırlamak üzere uygun süre verilmesi gerekir. Ucu açık bir erteleme istemiyor; yalnız [sayfa, zaman aralığı veya teknik bölüm] yönünden inceleme ve beyan imkânı talep ediyoruz.</w:t>
      </w:r>
    </w:p>
    <w:p>
      <w:pPr>
        <w:spacing w:after="60" w:line="245" w:lineRule="auto"/>
        <w:ind w:firstLine="317"/>
      </w:pPr>
      <w:r>
        <w:rPr>
          <w:b/>
        </w:rPr>
        <w:t xml:space="preserve">6. </w:t>
      </w:r>
      <w:r>
        <w:t>[Tanık veya bilirkişi] hakkında ek işlem gerekçemiz şöyledir: “[Belirli beyan bölümü, gerçek çelişki ve yöneltilmek istenen soru]”. Bu talebin kabul veya reddi hakkında somut gerekçeli karar kurulmasını; istem ile kararın CMK m.219 ve m.221 uyarınca celse tutanağına geçirilmesini istiyoruz.</w:t>
      </w:r>
    </w:p>
    <w:p>
      <w:pPr>
        <w:spacing w:after="60" w:line="245" w:lineRule="auto"/>
        <w:ind w:firstLine="317"/>
      </w:pPr>
      <w:r>
        <w:rPr>
          <w:b/>
        </w:rPr>
        <w:t xml:space="preserve">7. </w:t>
      </w:r>
      <w:r>
        <w:t>Deliller bildirildikten sonra sanığın ve müdafiin açıklamalarının alınmasını; CMK m.215-216 kapsamındaki tartışma imkânının sağlanmasını ve savunma tamamlanmadan bildirimin yalnız şeklen yapılmış sayılmamasını talep ediyoruz. Bildirim eksikliğinin sonucu, somut delil işlemi ve savunmaya etkisi değerlendirilerek karara bağlanmalıdır.</w:t>
      </w:r>
    </w:p>
    <w:p>
      <w:pPr>
        <w:spacing w:before="40"/>
      </w:pPr>
      <w:r>
        <w:rPr>
          <w:b/>
        </w:rPr>
        <w:t xml:space="preserve">HUKUKİ NEDENLER: </w:t>
      </w:r>
      <w:r>
        <w:t>Anayasa m.36 ve 38; 5271 sayılı CMK m.147, 191, 193-197, 206, 207, 215-217, 219-222 ve somut olaya uygulanabilen diğer hükümler.</w:t>
      </w:r>
    </w:p>
    <w:p>
      <w:r>
        <w:rPr>
          <w:b/>
        </w:rPr>
        <w:t xml:space="preserve">DELİLLER VE EKLER: </w:t>
      </w:r>
      <w:r>
        <w:t>Tebliğ belgesi; mazeret dilekçesi ve kararı; ilgili celse tutanakları; gerçek delil listesi; UYAP evrak bilgileri; bildirim tutanağı ve yalnız gerçekten mevcut diğer belgeler.</w:t>
      </w:r>
    </w:p>
    <w:p>
      <w:pPr>
        <w:spacing w:before="40" w:after="60"/>
      </w:pPr>
      <w:r>
        <w:rPr>
          <w:b/>
        </w:rPr>
        <w:t xml:space="preserve">SONUÇ VE İSTEM: </w:t>
      </w:r>
      <w:r>
        <w:t>Açıklanan nedenlerle; (1) sanığın bulunmadığı [tarih] oturumlarında ortaya konulan delillerin ad, tarih, evrak numarası, celse ve ilgili bölümleriyle belirlenmesine, (2) bu delillerin CMK m.206/1 uyarınca sanığa açıkça bildirilmesine ve ilgili kayıtlara erişim sağlanmasına, (3) [belirli delil] için açıklama hazırlamaya elverişli süre verilmesine, (4) sanık ve müdafiin deliller hakkındaki açıklamalarının alınmasına, (5) somutlaştırılan [ek tanık/bilirkişi/inceleme] talebimizin gerekçeli kararla değerlendirilmesine, (6) bildirim, beyan, istem ve kararların celse tutanağına eksiksiz geçirilmesine karar verilmesini saygıyla arz ve talep ederim. [Tarih]</w:t>
      </w:r>
    </w:p>
    <w:p>
      <w:pPr>
        <w:jc w:val="right"/>
      </w:pPr>
      <w:r>
        <w:rPr>
          <w:b/>
        </w:rPr>
        <w:t>Sanık / müdafii</w:t>
        <w:br/>
      </w:r>
      <w:r>
        <w:t>[Ad soyad ve imza]</w:t>
      </w:r>
    </w:p>
    <w:p>
      <w:pPr>
        <w:sectPr>
          <w:footerReference w:type="default" r:id="rId9"/>
          <w:pgSz w:w="12240" w:h="15840"/>
          <w:pgMar w:top="691" w:right="979" w:bottom="691" w:left="979" w:header="720" w:footer="720" w:gutter="0"/>
          <w:cols w:space="720"/>
          <w:docGrid w:linePitch="360"/>
        </w:sectPr>
      </w:pPr>
    </w:p>
    <w:p>
      <w:pPr>
        <w:pStyle w:val="Heading1"/>
        <w:jc w:val="center"/>
      </w:pPr>
      <w:r>
        <w:t>CMK 206/1 Bildirim ve Savunma Kontrol Çizelgesi</w:t>
      </w:r>
    </w:p>
    <w:p>
      <w:r>
        <w:t>Bu çizelge tebligat, mazeret, sorgu, yoklukta ortaya konulan deliller, sonradan bildirim ve savunma işlemlerini gerçek dosya kayıtlarıyla eşleştirmek için kullanılır.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27"/>
        <w:gridCol w:w="3427"/>
        <w:gridCol w:w="3427"/>
      </w:tblGrid>
      <w:tr>
        <w:trPr>
          <w:tblHeader w:val="true"/>
        </w:trP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1F4E78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Kontrol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1F4E78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Dosyaya Yazılacak Bilgi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1F4E78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16"/>
              </w:rPr>
              <w:t>Hukuki Amaç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Tebligat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[Mazbata/e-tebligat, adres, tarih, teslim alan]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CMK 206/1 ön koşulu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Mazeret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[Dilekçe, ek, tarih ve ara karar]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Mazeretsizlik denetimi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Sorgu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[Yapılamama nedeni ve ilgili tutanak]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Delile geçiş sırası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Delile geçiş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[Ara karar, tarih ve somut dayanak]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İstisna kararı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Tanık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[Ad, dinleme tarihi, tutanak sayfası]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Bildirim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Bilirkişi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[Ad/kurum, rapor tarihi, evrak no]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Bildirim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Belge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[Ad, düzenleyen, tarih, numara, bölüm]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Bildirim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Dijital kayıt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[Dosya adı, tarih, zaman aralığı]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Bildirim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Sonradan geliş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[Sanığın hazır olduğu celse ve tarih]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Yükümlülüğün doğumu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Bildirim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[Delil listesi ve bildirim yöntemi]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Savunma bilgisi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Erişim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[Tebliğ/indirme/inceleme tarihi]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Hazırlık imkânı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Açıklama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[Sanık ve müdafi beyanının tutanak yeri]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CMK 215-216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Ek işlem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[Somut soru, çelişki veya inceleme]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Etkili savunma</w:t>
            </w:r>
          </w:p>
        </w:tc>
      </w:tr>
      <w:tr>
        <w:tc>
          <w:tcPr>
            <w:tcW w:type="dxa" w:w="19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Karar</w:t>
            </w:r>
          </w:p>
        </w:tc>
        <w:tc>
          <w:tcPr>
            <w:tcW w:type="dxa" w:w="5544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left"/>
            </w:pPr>
            <w:r>
              <w:rPr>
                <w:rFonts w:ascii="Times New Roman" w:hAnsi="Times New Roman"/>
                <w:sz w:val="15"/>
              </w:rPr>
              <w:t>[Kabul/ret, gerekçe ve tutanak yeri]</w:t>
            </w:r>
          </w:p>
        </w:tc>
        <w:tc>
          <w:tcPr>
            <w:tcW w:type="dxa" w:w="2448"/>
            <w:vAlign w:val="center"/>
            <w:tcMar>
              <w:top w:w="70" w:type="dxa"/>
              <w:start w:w="80" w:type="dxa"/>
              <w:bottom w:w="70" w:type="dxa"/>
              <w:end w:w="80" w:type="dxa"/>
            </w:tcMar>
            <w:shd w:fill="EAF2F8"/>
          </w:tcPr>
          <w:p>
            <w:pPr>
              <w:jc w:val="center"/>
            </w:pPr>
            <w:r>
              <w:rPr>
                <w:rFonts w:ascii="Times New Roman" w:hAnsi="Times New Roman"/>
                <w:sz w:val="15"/>
              </w:rPr>
              <w:t>Denetlenebilirlik</w:t>
            </w:r>
          </w:p>
        </w:tc>
      </w:tr>
    </w:tbl>
    <w:p>
      <w:pPr>
        <w:pStyle w:val="Heading1"/>
      </w:pPr>
      <w:r>
        <w:t>Kullanım Notları</w:t>
      </w:r>
    </w:p>
    <w:p>
      <w:pPr>
        <w:pStyle w:val="ListBullet"/>
        <w:spacing w:after="40"/>
      </w:pPr>
      <w:r>
        <w:t>Tebligat ve mazeret kayıtlarını görmeden mazeretsiz yokluk sonucu yazmayın.</w:t>
      </w:r>
    </w:p>
    <w:p>
      <w:pPr>
        <w:pStyle w:val="ListBullet"/>
        <w:spacing w:after="40"/>
      </w:pPr>
      <w:r>
        <w:t>Dosyadaki bütün evrak ile duruşmada gerçekten ortaya konulan delilleri ayırın.</w:t>
      </w:r>
    </w:p>
    <w:p>
      <w:pPr>
        <w:pStyle w:val="ListBullet"/>
        <w:spacing w:after="40"/>
      </w:pPr>
      <w:r>
        <w:t>Her delili ad, tarih, evrak numarası, celse ve ilgili bölümle tanıtın.</w:t>
      </w:r>
    </w:p>
    <w:p>
      <w:pPr>
        <w:pStyle w:val="ListBullet"/>
        <w:spacing w:after="40"/>
      </w:pPr>
      <w:r>
        <w:t>Tanığın yeniden dinlenmesi isteniyorsa belirli çelişki ve soruyu açıklayın.</w:t>
      </w:r>
    </w:p>
    <w:p>
      <w:pPr>
        <w:pStyle w:val="ListBullet"/>
        <w:spacing w:after="40"/>
      </w:pPr>
      <w:r>
        <w:t>Bildirim eksikliğinin otomatik sonuç doğurduğunu varsaymadan somut savunma etkisini gösterin.</w:t>
      </w:r>
    </w:p>
    <w:sectPr w:rsidR="00FC693F" w:rsidRPr="0006063C" w:rsidSect="00034616">
      <w:footerReference w:type="default" r:id="rId10"/>
      <w:pgSz w:w="12240" w:h="15840"/>
      <w:pgMar w:top="691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Bu örnek gerçek tebligat, mazeret, celse ve delil kayıtlarına uyarlanmalıdır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Bu örnek gerçek tebligat, mazeret, celse ve delil kayıtlarına uyarlanmalıdır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Times New Roman" w:hAnsi="Times New Roman" w:eastAsia="Times New Roman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4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206/1 Sonradan Gelen Sanığa Delillerin Bildirilmesi Talep Dilekçesi</dc:title>
  <dc:subject>Ceza muhakemesi dilekçe örneği</dc:subject>
  <dc:creator>Av. Halil Bakırcı</dc:creator>
  <cp:keywords>CMK 206/1, sonradan gelen sanık, delillerin bildirilmesi, savunma hakkı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