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230/2 Beraat Hükmünde Dayanak Beraat Nedeninin Gösterilmesi Talebi</w:t>
      </w:r>
    </w:p>
    <w:p>
      <w:pPr>
        <w:jc w:val="center"/>
      </w:pPr>
      <w:r>
        <w:rPr>
          <w:b/>
          <w:sz w:val="20"/>
        </w:rPr>
        <w:t>[YARGILAMAYI YÜRÜTEN CEZA MAHKEMESİNE]</w:t>
      </w:r>
    </w:p>
    <w:p>
      <w:pPr>
        <w:spacing w:after="24"/>
      </w:pPr>
      <w:r>
        <w:rPr>
          <w:b/>
        </w:rPr>
        <w:t xml:space="preserve">ESAS NO: </w:t>
      </w:r>
      <w:r>
        <w:t>[Gerçek esas numarası]</w:t>
      </w:r>
    </w:p>
    <w:p>
      <w:pPr>
        <w:spacing w:after="24"/>
      </w:pPr>
      <w:r>
        <w:rPr>
          <w:b/>
        </w:rPr>
        <w:t xml:space="preserve">SANIK: </w:t>
      </w:r>
      <w:r>
        <w:t>[Ad soyad ve gerçek kimlik bilgileri]</w:t>
      </w:r>
    </w:p>
    <w:p>
      <w:pPr>
        <w:spacing w:after="24"/>
      </w:pPr>
      <w:r>
        <w:rPr>
          <w:b/>
        </w:rPr>
        <w:t xml:space="preserve">MÜDAFİİ: </w:t>
      </w:r>
      <w:r>
        <w:t>[Varsa ad soyad, baro-sicil ve adres]</w:t>
      </w:r>
    </w:p>
    <w:p>
      <w:r>
        <w:rPr>
          <w:b/>
        </w:rPr>
        <w:t xml:space="preserve">KONU: </w:t>
      </w:r>
      <w:r>
        <w:t>Savunmanın beraat nedenine ilişkin somut dayanaklarının değerlendirilmesi ve beraat hükmü kurulması hâlinde CMK m.230/2 uyarınca m.223/2’nin hangi bendine dayanıldığının gerekçede açıkça gösterilmesi talebidir.</w:t>
      </w:r>
    </w:p>
    <w:p>
      <w:pPr>
        <w:pStyle w:val="Heading1"/>
      </w:pPr>
      <w:r>
        <w:t>AÇIKLAMALAR</w:t>
      </w:r>
    </w:p>
    <w:p>
      <w:pPr>
        <w:spacing w:after="38"/>
        <w:ind w:firstLine="288"/>
      </w:pPr>
      <w:r>
        <w:rPr>
          <w:b/>
        </w:rPr>
        <w:t xml:space="preserve">1. </w:t>
      </w:r>
      <w:r>
        <w:t>Mahkemenizin [esas no] sayılı dosyasında [iddianame tarih ve sayısı] tarihli iddianameyle [isnat edilen suç] nedeniyle kamu davası açılmıştır. Yargılamaya konu somut fiil iddianamede [gerçek fiil özeti] biçiminde anlatılmıştır. Bu dilekçe dosyada bulunmayan bir olguyu varsaymamakta ve mahkemenin delil takdirini ortadan kaldırmamaktadır.</w:t>
      </w:r>
    </w:p>
    <w:p>
      <w:pPr>
        <w:spacing w:after="38"/>
        <w:ind w:firstLine="288"/>
      </w:pPr>
      <w:r>
        <w:rPr>
          <w:b/>
        </w:rPr>
        <w:t xml:space="preserve">2. </w:t>
      </w:r>
      <w:r>
        <w:t>Savunmanın birincil beraat nedeni [CMK m.223/2-a, b, c, d veya e seçeneklerinden dosyaya uygun olanı]dır. Bu değerlendirme [delil veya hukuki dayanak 1’in tam kimliği], [delil 2’nin tam kimliği] ve [duruşma tarihi-tutanak sayfası] kayıtlarına dayanmaktadır. Kullanılmayan bent seçenekleri sunulacak metinden çıkarılacaktır.</w:t>
      </w:r>
    </w:p>
    <w:p>
      <w:pPr>
        <w:spacing w:after="38"/>
        <w:ind w:firstLine="288"/>
      </w:pPr>
      <w:r>
        <w:rPr>
          <w:b/>
        </w:rPr>
        <w:t xml:space="preserve">3. </w:t>
      </w:r>
      <w:r>
        <w:t>İddia makamı [mütalaa tarihi] tarihli esas hakkındaki mütalaasında [dayanılan delil ve çıkarım] gerekçesiyle [talep] istemiştir. Savunma, bu çıkarıma karşı [somut itiraz] ileri sürmektedir. İtirazın dayandığı kayıt [belge/tanık/raporun tam kimliği] olup ilgili bölüm [sayfa, paragraf, zaman veya UYAP sıra bilgisi]dir.</w:t>
      </w:r>
    </w:p>
    <w:p>
      <w:pPr>
        <w:spacing w:after="38"/>
        <w:ind w:firstLine="288"/>
      </w:pPr>
      <w:r>
        <w:rPr>
          <w:b/>
        </w:rPr>
        <w:t xml:space="preserve">4. </w:t>
      </w:r>
      <w:r>
        <w:t>[m.223/2-a seçilecekse:] İddianamede anlatılan fiil gerçekleşmiş kabul edilse dahi [suç tipinin karşılanmayan kanuni unsuru] bulunmamaktadır. Bu hukuki değerlendirmenin dayanağı [kanun hükmü ve gerçek fiil anlatımı]dır. İspat yetersizliğiyle tipiklik yokluğu birbirine karıştırılmamalıdır.</w:t>
      </w:r>
    </w:p>
    <w:p>
      <w:pPr>
        <w:spacing w:after="38"/>
        <w:ind w:firstLine="288"/>
      </w:pPr>
      <w:r>
        <w:rPr>
          <w:b/>
        </w:rPr>
        <w:t xml:space="preserve">5. </w:t>
      </w:r>
      <w:r>
        <w:t>[m.223/2-b seçilecekse:] Sanığın yüklenen fiili işlemediğini olumlu biçimde gösterdiği ileri sürülen kayıt [tam kayıt]tır. Bu kayıt [kimlik, yer, zaman veya fail bağlantısı] yönünden [iddia delili] ile karşılaştırıldığında [somut sonuç] ortaya çıkmaktadır. Kaynağı ve doğrulama bilgisi [bilgi]dir.</w:t>
      </w:r>
    </w:p>
    <w:p>
      <w:pPr>
        <w:spacing w:after="38"/>
        <w:ind w:firstLine="288"/>
      </w:pPr>
      <w:r>
        <w:rPr>
          <w:b/>
        </w:rPr>
        <w:t xml:space="preserve">6. </w:t>
      </w:r>
      <w:r>
        <w:t>[m.223/2-c veya d seçilecekse:] Manevi unsurun ya da hukuka uygunluk nedeninin dosyaya uygun koşulları [somut koşul] olup dayanak [tam kayıt]tır. Kusurluluğu etkileyen neden ile hukuka uygunluk nedeni aynı kavram gibi kullanılmamıştır; uygulanması istenen bent ve koşullar ayrılmıştır.</w:t>
      </w:r>
    </w:p>
    <w:p>
      <w:pPr>
        <w:spacing w:after="38"/>
        <w:ind w:firstLine="288"/>
      </w:pPr>
      <w:r>
        <w:rPr>
          <w:b/>
        </w:rPr>
        <w:t xml:space="preserve">7. </w:t>
      </w:r>
      <w:r>
        <w:t>[m.223/2-e seçilecekse:] İsnadı sanığa bağlayan [aleyhe delil] bakımından giderilemeyen ispat boşluğu [somut çelişki veya eksiklik]tir. [Karşı kayıt] bu çıkarımı [neden] yönünden desteklememekte veya alternatif açıklamayı dışlamamaktadır. Bu nedenle yüklenen suçun sanık tarafından işlendiği mahkûmiyet için gereken kesinlikte sabit değildir.</w:t>
      </w:r>
    </w:p>
    <w:p>
      <w:pPr>
        <w:spacing w:after="38"/>
        <w:ind w:firstLine="288"/>
      </w:pPr>
      <w:r>
        <w:rPr>
          <w:b/>
        </w:rPr>
        <w:t xml:space="preserve">8. </w:t>
      </w:r>
      <w:r>
        <w:t>CMK m.230/2, beraat hükmünün gerekçesinde m.223/2’deki hâllerden hangisine dayanıldığının gösterilmesini zorunlu kılar. Bu nedenle beraat sonucu kurulması hâlinde yalnız genel bir sonuç cümlesiyle yetinilmemesini; uygulanan bendin ve bu bende ulaşmayı sağlayan belirleyici delil veya hukuki değerlendirmenin gerekçede açıkça belirtilmesini talep ediyoruz.</w:t>
      </w:r>
    </w:p>
    <w:p>
      <w:pPr>
        <w:spacing w:after="38"/>
        <w:ind w:firstLine="288"/>
      </w:pPr>
      <w:r>
        <w:rPr>
          <w:b/>
        </w:rPr>
        <w:t xml:space="preserve">9. </w:t>
      </w:r>
      <w:r>
        <w:t>Mahkemeniz başka bir beraat nedeninin gerçekleştiği kanaatine ulaşırsa, belirlenen bendin ve gerekçesinin kararda gösterilmesi gerekir. Birden çok bağımsız neden değerlendirilecekse her nedenin dayandığı kayıt ayrı açıklanmalıdır. Bu istem belirli bir beraat veya kanun yolu sonucu garantisi içermez.</w:t>
      </w:r>
    </w:p>
    <w:p>
      <w:r>
        <w:rPr>
          <w:b/>
        </w:rPr>
        <w:t xml:space="preserve">HUKUKİ NEDENLER: </w:t>
      </w:r>
      <w:r>
        <w:t>Anayasa m.36 ve 141/3; 5271 sayılı CMK m.34, 217, 223/2, 230/2 ve somut olaya uygulanabilir diğer hükümler.</w:t>
      </w:r>
    </w:p>
    <w:p>
      <w:r>
        <w:rPr>
          <w:b/>
        </w:rPr>
        <w:t xml:space="preserve">DELİL VE EKLER: </w:t>
      </w:r>
      <w:r>
        <w:t>İddianame; duruşma tutanakları; esas hakkındaki mütalaa; savunma dilekçeleri; kimliği tek tek gösterilen belge, tanık, rapor ve dijital kayıtlar; UYAP evrak listesi; yalnız gerçekten mevcut diğer kayıtlar.</w:t>
      </w:r>
    </w:p>
    <w:p>
      <w:r>
        <w:rPr>
          <w:b/>
        </w:rPr>
        <w:t xml:space="preserve">SONUÇ VE İSTEM: </w:t>
      </w:r>
      <w:r>
        <w:t>Açıklanan nedenlerle, savunmanın [dosyaya uygun CMK m.223/2 bendi] kapsamındaki beraat talebinin belirtilen gerçek kayıtlarla birlikte değerlendirilmesine; beraat hükmü kurulması hâlinde CMK m.230/2 uyarınca m.223/2’nin hangi bendine dayanıldığının ve bu bende ulaşılmasını sağlayan belirleyici değerlendirmenin gerekçede açıkça gösterilmesine karar verilmesini saygıyla arz ve talep ederim. 06.10.2026</w:t>
      </w:r>
    </w:p>
    <w:p>
      <w:pPr>
        <w:jc w:val="right"/>
      </w:pPr>
      <w:r>
        <w:rPr>
          <w:b/>
        </w:rPr>
        <w:t>Sanık / Müdafii</w:t>
        <w:br/>
      </w:r>
      <w:r>
        <w:t>[Ad Soyad]</w:t>
        <w:br/>
        <w:t>(E-İMZALIDIR)</w:t>
      </w:r>
    </w:p>
    <w:p>
      <w:pPr>
        <w:sectPr>
          <w:footerReference w:type="default" r:id="rId9"/>
          <w:pgSz w:w="12240" w:h="15840"/>
          <w:pgMar w:top="634" w:right="922" w:bottom="634" w:left="922" w:header="720" w:footer="720" w:gutter="0"/>
          <w:cols w:space="720"/>
          <w:docGrid w:linePitch="360"/>
        </w:sectPr>
      </w:pPr>
    </w:p>
    <w:p>
      <w:pPr>
        <w:pStyle w:val="Heading1"/>
        <w:jc w:val="center"/>
      </w:pPr>
      <w:r>
        <w:t>CMK 223/2 Beraat Nedeni Seçim ve Gerekçe Çizelgesi</w:t>
      </w:r>
    </w:p>
    <w:p>
      <w:r>
        <w:t>Yalnız somut dosyada dayanağı bulunan satırlar doldurulmalı; kullanılmayan bentler dilekçeden çıkarılmalıdır.</w:t>
      </w:r>
    </w:p>
    <w:tbl>
      <w:tblPr>
        <w:tblStyle w:val="TableGrid"/>
        <w:tblW w:type="auto" w:w="0"/>
        <w:tblLayout w:type="fixed"/>
        <w:tblLook w:firstColumn="1" w:firstRow="1" w:lastColumn="0" w:lastRow="0" w:noHBand="0" w:noVBand="1" w:val="04A0"/>
      </w:tblPr>
      <w:tblGrid>
        <w:gridCol w:w="3465"/>
        <w:gridCol w:w="3465"/>
        <w:gridCol w:w="3465"/>
      </w:tblGrid>
      <w:tr>
        <w:trPr>
          <w:tblHeader w:val="true"/>
        </w:trPr>
        <w:tc>
          <w:tcPr>
            <w:tcW w:type="dxa" w:w="1757"/>
            <w:vAlign w:val="center"/>
            <w:tcMar>
              <w:top w:w="70" w:type="dxa"/>
              <w:start w:w="70" w:type="dxa"/>
              <w:bottom w:w="70" w:type="dxa"/>
              <w:end w:w="70" w:type="dxa"/>
            </w:tcMar>
            <w:shd w:fill="1F4E78"/>
          </w:tcPr>
          <w:p>
            <w:pPr>
              <w:jc w:val="center"/>
            </w:pPr>
            <w:r>
              <w:rPr>
                <w:b/>
                <w:color w:val="FFFFFF"/>
                <w:sz w:val="15"/>
              </w:rPr>
              <w:t>Bent / Kayıt</w:t>
            </w:r>
          </w:p>
        </w:tc>
        <w:tc>
          <w:tcPr>
            <w:tcW w:type="dxa" w:w="3672"/>
            <w:vAlign w:val="center"/>
            <w:tcMar>
              <w:top w:w="70" w:type="dxa"/>
              <w:start w:w="70" w:type="dxa"/>
              <w:bottom w:w="70" w:type="dxa"/>
              <w:end w:w="70" w:type="dxa"/>
            </w:tcMar>
            <w:shd w:fill="1F4E78"/>
          </w:tcPr>
          <w:p>
            <w:pPr>
              <w:jc w:val="center"/>
            </w:pPr>
            <w:r>
              <w:rPr>
                <w:b/>
                <w:color w:val="FFFFFF"/>
                <w:sz w:val="15"/>
              </w:rPr>
              <w:t>Hukuki veya Maddi Ölçüt</w:t>
            </w:r>
          </w:p>
        </w:tc>
        <w:tc>
          <w:tcPr>
            <w:tcW w:type="dxa" w:w="4493"/>
            <w:vAlign w:val="center"/>
            <w:tcMar>
              <w:top w:w="70" w:type="dxa"/>
              <w:start w:w="70" w:type="dxa"/>
              <w:bottom w:w="70" w:type="dxa"/>
              <w:end w:w="70" w:type="dxa"/>
            </w:tcMar>
            <w:shd w:fill="1F4E78"/>
          </w:tcPr>
          <w:p>
            <w:pPr>
              <w:jc w:val="center"/>
            </w:pPr>
            <w:r>
              <w:rPr>
                <w:b/>
                <w:color w:val="FFFFFF"/>
                <w:sz w:val="15"/>
              </w:rPr>
              <w:t>Dosyada Gösterilecek Dayanak</w:t>
            </w:r>
          </w:p>
        </w:tc>
      </w:tr>
      <w:tr>
        <w:tc>
          <w:tcPr>
            <w:tcW w:type="dxa" w:w="1757"/>
            <w:vAlign w:val="center"/>
            <w:tcMar>
              <w:top w:w="70" w:type="dxa"/>
              <w:start w:w="70" w:type="dxa"/>
              <w:bottom w:w="70" w:type="dxa"/>
              <w:end w:w="70" w:type="dxa"/>
            </w:tcMar>
          </w:tcPr>
          <w:p>
            <w:r>
              <w:rPr>
                <w:rFonts w:ascii="Times New Roman" w:hAnsi="Times New Roman"/>
                <w:sz w:val="14"/>
              </w:rPr>
              <w:t>223/2-a</w:t>
            </w:r>
          </w:p>
        </w:tc>
        <w:tc>
          <w:tcPr>
            <w:tcW w:type="dxa" w:w="3672"/>
            <w:vAlign w:val="center"/>
            <w:tcMar>
              <w:top w:w="70" w:type="dxa"/>
              <w:start w:w="70" w:type="dxa"/>
              <w:bottom w:w="70" w:type="dxa"/>
              <w:end w:w="70" w:type="dxa"/>
            </w:tcMar>
          </w:tcPr>
          <w:p>
            <w:r>
              <w:rPr>
                <w:rFonts w:ascii="Times New Roman" w:hAnsi="Times New Roman"/>
                <w:sz w:val="14"/>
              </w:rPr>
              <w:t>Fiil kanunda suç değil</w:t>
            </w:r>
          </w:p>
        </w:tc>
        <w:tc>
          <w:tcPr>
            <w:tcW w:type="dxa" w:w="4493"/>
            <w:vAlign w:val="center"/>
            <w:tcMar>
              <w:top w:w="70" w:type="dxa"/>
              <w:start w:w="70" w:type="dxa"/>
              <w:bottom w:w="70" w:type="dxa"/>
              <w:end w:w="70" w:type="dxa"/>
            </w:tcMar>
          </w:tcPr>
          <w:p>
            <w:r>
              <w:rPr>
                <w:rFonts w:ascii="Times New Roman" w:hAnsi="Times New Roman"/>
                <w:sz w:val="14"/>
              </w:rPr>
              <w:t>Karşılanmayan suç unsuru ve fiil</w:t>
            </w:r>
          </w:p>
        </w:tc>
      </w:tr>
      <w:tr>
        <w:tc>
          <w:tcPr>
            <w:tcW w:type="dxa" w:w="1757"/>
            <w:vAlign w:val="center"/>
            <w:tcMar>
              <w:top w:w="70" w:type="dxa"/>
              <w:start w:w="70" w:type="dxa"/>
              <w:bottom w:w="70" w:type="dxa"/>
              <w:end w:w="70" w:type="dxa"/>
            </w:tcMar>
            <w:shd w:fill="EAF2F8"/>
          </w:tcPr>
          <w:p>
            <w:r>
              <w:rPr>
                <w:rFonts w:ascii="Times New Roman" w:hAnsi="Times New Roman"/>
                <w:sz w:val="14"/>
              </w:rPr>
              <w:t>223/2-b</w:t>
            </w:r>
          </w:p>
        </w:tc>
        <w:tc>
          <w:tcPr>
            <w:tcW w:type="dxa" w:w="3672"/>
            <w:vAlign w:val="center"/>
            <w:tcMar>
              <w:top w:w="70" w:type="dxa"/>
              <w:start w:w="70" w:type="dxa"/>
              <w:bottom w:w="70" w:type="dxa"/>
              <w:end w:w="70" w:type="dxa"/>
            </w:tcMar>
            <w:shd w:fill="EAF2F8"/>
          </w:tcPr>
          <w:p>
            <w:r>
              <w:rPr>
                <w:rFonts w:ascii="Times New Roman" w:hAnsi="Times New Roman"/>
                <w:sz w:val="14"/>
              </w:rPr>
              <w:t>Sanığın işlemediği sabit</w:t>
            </w:r>
          </w:p>
        </w:tc>
        <w:tc>
          <w:tcPr>
            <w:tcW w:type="dxa" w:w="4493"/>
            <w:vAlign w:val="center"/>
            <w:tcMar>
              <w:top w:w="70" w:type="dxa"/>
              <w:start w:w="70" w:type="dxa"/>
              <w:bottom w:w="70" w:type="dxa"/>
              <w:end w:w="70" w:type="dxa"/>
            </w:tcMar>
            <w:shd w:fill="EAF2F8"/>
          </w:tcPr>
          <w:p>
            <w:r>
              <w:rPr>
                <w:rFonts w:ascii="Times New Roman" w:hAnsi="Times New Roman"/>
                <w:sz w:val="14"/>
              </w:rPr>
              <w:t>Olumlu tespiti sağlayan kayıt</w:t>
            </w:r>
          </w:p>
        </w:tc>
      </w:tr>
      <w:tr>
        <w:tc>
          <w:tcPr>
            <w:tcW w:type="dxa" w:w="1757"/>
            <w:vAlign w:val="center"/>
            <w:tcMar>
              <w:top w:w="70" w:type="dxa"/>
              <w:start w:w="70" w:type="dxa"/>
              <w:bottom w:w="70" w:type="dxa"/>
              <w:end w:w="70" w:type="dxa"/>
            </w:tcMar>
          </w:tcPr>
          <w:p>
            <w:r>
              <w:rPr>
                <w:rFonts w:ascii="Times New Roman" w:hAnsi="Times New Roman"/>
                <w:sz w:val="14"/>
              </w:rPr>
              <w:t>223/2-c</w:t>
            </w:r>
          </w:p>
        </w:tc>
        <w:tc>
          <w:tcPr>
            <w:tcW w:type="dxa" w:w="3672"/>
            <w:vAlign w:val="center"/>
            <w:tcMar>
              <w:top w:w="70" w:type="dxa"/>
              <w:start w:w="70" w:type="dxa"/>
              <w:bottom w:w="70" w:type="dxa"/>
              <w:end w:w="70" w:type="dxa"/>
            </w:tcMar>
          </w:tcPr>
          <w:p>
            <w:r>
              <w:rPr>
                <w:rFonts w:ascii="Times New Roman" w:hAnsi="Times New Roman"/>
                <w:sz w:val="14"/>
              </w:rPr>
              <w:t>Kast veya taksir yok</w:t>
            </w:r>
          </w:p>
        </w:tc>
        <w:tc>
          <w:tcPr>
            <w:tcW w:type="dxa" w:w="4493"/>
            <w:vAlign w:val="center"/>
            <w:tcMar>
              <w:top w:w="70" w:type="dxa"/>
              <w:start w:w="70" w:type="dxa"/>
              <w:bottom w:w="70" w:type="dxa"/>
              <w:end w:w="70" w:type="dxa"/>
            </w:tcMar>
          </w:tcPr>
          <w:p>
            <w:r>
              <w:rPr>
                <w:rFonts w:ascii="Times New Roman" w:hAnsi="Times New Roman"/>
                <w:sz w:val="14"/>
              </w:rPr>
              <w:t>Manevi unsurla ilgili delil</w:t>
            </w:r>
          </w:p>
        </w:tc>
      </w:tr>
      <w:tr>
        <w:tc>
          <w:tcPr>
            <w:tcW w:type="dxa" w:w="1757"/>
            <w:vAlign w:val="center"/>
            <w:tcMar>
              <w:top w:w="70" w:type="dxa"/>
              <w:start w:w="70" w:type="dxa"/>
              <w:bottom w:w="70" w:type="dxa"/>
              <w:end w:w="70" w:type="dxa"/>
            </w:tcMar>
            <w:shd w:fill="EAF2F8"/>
          </w:tcPr>
          <w:p>
            <w:r>
              <w:rPr>
                <w:rFonts w:ascii="Times New Roman" w:hAnsi="Times New Roman"/>
                <w:sz w:val="14"/>
              </w:rPr>
              <w:t>223/2-d</w:t>
            </w:r>
          </w:p>
        </w:tc>
        <w:tc>
          <w:tcPr>
            <w:tcW w:type="dxa" w:w="3672"/>
            <w:vAlign w:val="center"/>
            <w:tcMar>
              <w:top w:w="70" w:type="dxa"/>
              <w:start w:w="70" w:type="dxa"/>
              <w:bottom w:w="70" w:type="dxa"/>
              <w:end w:w="70" w:type="dxa"/>
            </w:tcMar>
            <w:shd w:fill="EAF2F8"/>
          </w:tcPr>
          <w:p>
            <w:r>
              <w:rPr>
                <w:rFonts w:ascii="Times New Roman" w:hAnsi="Times New Roman"/>
                <w:sz w:val="14"/>
              </w:rPr>
              <w:t>Hukuka uygunluk nedeni</w:t>
            </w:r>
          </w:p>
        </w:tc>
        <w:tc>
          <w:tcPr>
            <w:tcW w:type="dxa" w:w="4493"/>
            <w:vAlign w:val="center"/>
            <w:tcMar>
              <w:top w:w="70" w:type="dxa"/>
              <w:start w:w="70" w:type="dxa"/>
              <w:bottom w:w="70" w:type="dxa"/>
              <w:end w:w="70" w:type="dxa"/>
            </w:tcMar>
            <w:shd w:fill="EAF2F8"/>
          </w:tcPr>
          <w:p>
            <w:r>
              <w:rPr>
                <w:rFonts w:ascii="Times New Roman" w:hAnsi="Times New Roman"/>
                <w:sz w:val="14"/>
              </w:rPr>
              <w:t>Koşullar ve gerçek kayıtlar</w:t>
            </w:r>
          </w:p>
        </w:tc>
      </w:tr>
      <w:tr>
        <w:tc>
          <w:tcPr>
            <w:tcW w:type="dxa" w:w="1757"/>
            <w:vAlign w:val="center"/>
            <w:tcMar>
              <w:top w:w="70" w:type="dxa"/>
              <w:start w:w="70" w:type="dxa"/>
              <w:bottom w:w="70" w:type="dxa"/>
              <w:end w:w="70" w:type="dxa"/>
            </w:tcMar>
          </w:tcPr>
          <w:p>
            <w:r>
              <w:rPr>
                <w:rFonts w:ascii="Times New Roman" w:hAnsi="Times New Roman"/>
                <w:sz w:val="14"/>
              </w:rPr>
              <w:t>223/2-e</w:t>
            </w:r>
          </w:p>
        </w:tc>
        <w:tc>
          <w:tcPr>
            <w:tcW w:type="dxa" w:w="3672"/>
            <w:vAlign w:val="center"/>
            <w:tcMar>
              <w:top w:w="70" w:type="dxa"/>
              <w:start w:w="70" w:type="dxa"/>
              <w:bottom w:w="70" w:type="dxa"/>
              <w:end w:w="70" w:type="dxa"/>
            </w:tcMar>
          </w:tcPr>
          <w:p>
            <w:r>
              <w:rPr>
                <w:rFonts w:ascii="Times New Roman" w:hAnsi="Times New Roman"/>
                <w:sz w:val="14"/>
              </w:rPr>
              <w:t>Sanığın işlediği sabit değil</w:t>
            </w:r>
          </w:p>
        </w:tc>
        <w:tc>
          <w:tcPr>
            <w:tcW w:type="dxa" w:w="4493"/>
            <w:vAlign w:val="center"/>
            <w:tcMar>
              <w:top w:w="70" w:type="dxa"/>
              <w:start w:w="70" w:type="dxa"/>
              <w:bottom w:w="70" w:type="dxa"/>
              <w:end w:w="70" w:type="dxa"/>
            </w:tcMar>
          </w:tcPr>
          <w:p>
            <w:r>
              <w:rPr>
                <w:rFonts w:ascii="Times New Roman" w:hAnsi="Times New Roman"/>
                <w:sz w:val="14"/>
              </w:rPr>
              <w:t>Giderilemeyen ispat boşluğu</w:t>
            </w:r>
          </w:p>
        </w:tc>
      </w:tr>
      <w:tr>
        <w:tc>
          <w:tcPr>
            <w:tcW w:type="dxa" w:w="1757"/>
            <w:vAlign w:val="center"/>
            <w:tcMar>
              <w:top w:w="70" w:type="dxa"/>
              <w:start w:w="70" w:type="dxa"/>
              <w:bottom w:w="70" w:type="dxa"/>
              <w:end w:w="70" w:type="dxa"/>
            </w:tcMar>
            <w:shd w:fill="EAF2F8"/>
          </w:tcPr>
          <w:p>
            <w:r>
              <w:rPr>
                <w:rFonts w:ascii="Times New Roman" w:hAnsi="Times New Roman"/>
                <w:sz w:val="14"/>
              </w:rPr>
              <w:t>İddianame</w:t>
            </w:r>
          </w:p>
        </w:tc>
        <w:tc>
          <w:tcPr>
            <w:tcW w:type="dxa" w:w="3672"/>
            <w:vAlign w:val="center"/>
            <w:tcMar>
              <w:top w:w="70" w:type="dxa"/>
              <w:start w:w="70" w:type="dxa"/>
              <w:bottom w:w="70" w:type="dxa"/>
              <w:end w:w="70" w:type="dxa"/>
            </w:tcMar>
            <w:shd w:fill="EAF2F8"/>
          </w:tcPr>
          <w:p>
            <w:r>
              <w:rPr>
                <w:rFonts w:ascii="Times New Roman" w:hAnsi="Times New Roman"/>
                <w:sz w:val="14"/>
              </w:rPr>
              <w:t>[Tarih-sayı ve somut fiil]</w:t>
            </w:r>
          </w:p>
        </w:tc>
        <w:tc>
          <w:tcPr>
            <w:tcW w:type="dxa" w:w="4493"/>
            <w:vAlign w:val="center"/>
            <w:tcMar>
              <w:top w:w="70" w:type="dxa"/>
              <w:start w:w="70" w:type="dxa"/>
              <w:bottom w:w="70" w:type="dxa"/>
              <w:end w:w="70" w:type="dxa"/>
            </w:tcMar>
            <w:shd w:fill="EAF2F8"/>
          </w:tcPr>
          <w:p>
            <w:r>
              <w:rPr>
                <w:rFonts w:ascii="Times New Roman" w:hAnsi="Times New Roman"/>
                <w:sz w:val="14"/>
              </w:rPr>
              <w:t>Sevk maddesiyle karşılaştırın</w:t>
            </w:r>
          </w:p>
        </w:tc>
      </w:tr>
      <w:tr>
        <w:tc>
          <w:tcPr>
            <w:tcW w:type="dxa" w:w="1757"/>
            <w:vAlign w:val="center"/>
            <w:tcMar>
              <w:top w:w="70" w:type="dxa"/>
              <w:start w:w="70" w:type="dxa"/>
              <w:bottom w:w="70" w:type="dxa"/>
              <w:end w:w="70" w:type="dxa"/>
            </w:tcMar>
          </w:tcPr>
          <w:p>
            <w:r>
              <w:rPr>
                <w:rFonts w:ascii="Times New Roman" w:hAnsi="Times New Roman"/>
                <w:sz w:val="14"/>
              </w:rPr>
              <w:t>Mütalaa</w:t>
            </w:r>
          </w:p>
        </w:tc>
        <w:tc>
          <w:tcPr>
            <w:tcW w:type="dxa" w:w="3672"/>
            <w:vAlign w:val="center"/>
            <w:tcMar>
              <w:top w:w="70" w:type="dxa"/>
              <w:start w:w="70" w:type="dxa"/>
              <w:bottom w:w="70" w:type="dxa"/>
              <w:end w:w="70" w:type="dxa"/>
            </w:tcMar>
          </w:tcPr>
          <w:p>
            <w:r>
              <w:rPr>
                <w:rFonts w:ascii="Times New Roman" w:hAnsi="Times New Roman"/>
                <w:sz w:val="14"/>
              </w:rPr>
              <w:t>[Tarih ve istenen sonuç]</w:t>
            </w:r>
          </w:p>
        </w:tc>
        <w:tc>
          <w:tcPr>
            <w:tcW w:type="dxa" w:w="4493"/>
            <w:vAlign w:val="center"/>
            <w:tcMar>
              <w:top w:w="70" w:type="dxa"/>
              <w:start w:w="70" w:type="dxa"/>
              <w:bottom w:w="70" w:type="dxa"/>
              <w:end w:w="70" w:type="dxa"/>
            </w:tcMar>
          </w:tcPr>
          <w:p>
            <w:r>
              <w:rPr>
                <w:rFonts w:ascii="Times New Roman" w:hAnsi="Times New Roman"/>
                <w:sz w:val="14"/>
              </w:rPr>
              <w:t>Dayanılan delili gösterin</w:t>
            </w:r>
          </w:p>
        </w:tc>
      </w:tr>
      <w:tr>
        <w:tc>
          <w:tcPr>
            <w:tcW w:type="dxa" w:w="1757"/>
            <w:vAlign w:val="center"/>
            <w:tcMar>
              <w:top w:w="70" w:type="dxa"/>
              <w:start w:w="70" w:type="dxa"/>
              <w:bottom w:w="70" w:type="dxa"/>
              <w:end w:w="70" w:type="dxa"/>
            </w:tcMar>
            <w:shd w:fill="EAF2F8"/>
          </w:tcPr>
          <w:p>
            <w:r>
              <w:rPr>
                <w:rFonts w:ascii="Times New Roman" w:hAnsi="Times New Roman"/>
                <w:sz w:val="14"/>
              </w:rPr>
              <w:t>Savunma</w:t>
            </w:r>
          </w:p>
        </w:tc>
        <w:tc>
          <w:tcPr>
            <w:tcW w:type="dxa" w:w="3672"/>
            <w:vAlign w:val="center"/>
            <w:tcMar>
              <w:top w:w="70" w:type="dxa"/>
              <w:start w:w="70" w:type="dxa"/>
              <w:bottom w:w="70" w:type="dxa"/>
              <w:end w:w="70" w:type="dxa"/>
            </w:tcMar>
            <w:shd w:fill="EAF2F8"/>
          </w:tcPr>
          <w:p>
            <w:r>
              <w:rPr>
                <w:rFonts w:ascii="Times New Roman" w:hAnsi="Times New Roman"/>
                <w:sz w:val="14"/>
              </w:rPr>
              <w:t>[Tarih ve ana tez]</w:t>
            </w:r>
          </w:p>
        </w:tc>
        <w:tc>
          <w:tcPr>
            <w:tcW w:type="dxa" w:w="4493"/>
            <w:vAlign w:val="center"/>
            <w:tcMar>
              <w:top w:w="70" w:type="dxa"/>
              <w:start w:w="70" w:type="dxa"/>
              <w:bottom w:w="70" w:type="dxa"/>
              <w:end w:w="70" w:type="dxa"/>
            </w:tcMar>
            <w:shd w:fill="EAF2F8"/>
          </w:tcPr>
          <w:p>
            <w:r>
              <w:rPr>
                <w:rFonts w:ascii="Times New Roman" w:hAnsi="Times New Roman"/>
                <w:sz w:val="14"/>
              </w:rPr>
              <w:t>Uygun bentle ilişkilendirin</w:t>
            </w:r>
          </w:p>
        </w:tc>
      </w:tr>
      <w:tr>
        <w:tc>
          <w:tcPr>
            <w:tcW w:type="dxa" w:w="1757"/>
            <w:vAlign w:val="center"/>
            <w:tcMar>
              <w:top w:w="70" w:type="dxa"/>
              <w:start w:w="70" w:type="dxa"/>
              <w:bottom w:w="70" w:type="dxa"/>
              <w:end w:w="70" w:type="dxa"/>
            </w:tcMar>
          </w:tcPr>
          <w:p>
            <w:r>
              <w:rPr>
                <w:rFonts w:ascii="Times New Roman" w:hAnsi="Times New Roman"/>
                <w:sz w:val="14"/>
              </w:rPr>
              <w:t>Karşı delil</w:t>
            </w:r>
          </w:p>
        </w:tc>
        <w:tc>
          <w:tcPr>
            <w:tcW w:type="dxa" w:w="3672"/>
            <w:vAlign w:val="center"/>
            <w:tcMar>
              <w:top w:w="70" w:type="dxa"/>
              <w:start w:w="70" w:type="dxa"/>
              <w:bottom w:w="70" w:type="dxa"/>
              <w:end w:w="70" w:type="dxa"/>
            </w:tcMar>
          </w:tcPr>
          <w:p>
            <w:r>
              <w:rPr>
                <w:rFonts w:ascii="Times New Roman" w:hAnsi="Times New Roman"/>
                <w:sz w:val="14"/>
              </w:rPr>
              <w:t>[Tam ad ve UYAP sıra]</w:t>
            </w:r>
          </w:p>
        </w:tc>
        <w:tc>
          <w:tcPr>
            <w:tcW w:type="dxa" w:w="4493"/>
            <w:vAlign w:val="center"/>
            <w:tcMar>
              <w:top w:w="70" w:type="dxa"/>
              <w:start w:w="70" w:type="dxa"/>
              <w:bottom w:w="70" w:type="dxa"/>
              <w:end w:w="70" w:type="dxa"/>
            </w:tcMar>
          </w:tcPr>
          <w:p>
            <w:r>
              <w:rPr>
                <w:rFonts w:ascii="Times New Roman" w:hAnsi="Times New Roman"/>
                <w:sz w:val="14"/>
              </w:rPr>
              <w:t>İspat etkisini açıklayın</w:t>
            </w:r>
          </w:p>
        </w:tc>
      </w:tr>
      <w:tr>
        <w:tc>
          <w:tcPr>
            <w:tcW w:type="dxa" w:w="1757"/>
            <w:vAlign w:val="center"/>
            <w:tcMar>
              <w:top w:w="70" w:type="dxa"/>
              <w:start w:w="70" w:type="dxa"/>
              <w:bottom w:w="70" w:type="dxa"/>
              <w:end w:w="70" w:type="dxa"/>
            </w:tcMar>
            <w:shd w:fill="EAF2F8"/>
          </w:tcPr>
          <w:p>
            <w:r>
              <w:rPr>
                <w:rFonts w:ascii="Times New Roman" w:hAnsi="Times New Roman"/>
                <w:sz w:val="14"/>
              </w:rPr>
              <w:t>Gerekçeli karar</w:t>
            </w:r>
          </w:p>
        </w:tc>
        <w:tc>
          <w:tcPr>
            <w:tcW w:type="dxa" w:w="3672"/>
            <w:vAlign w:val="center"/>
            <w:tcMar>
              <w:top w:w="70" w:type="dxa"/>
              <w:start w:w="70" w:type="dxa"/>
              <w:bottom w:w="70" w:type="dxa"/>
              <w:end w:w="70" w:type="dxa"/>
            </w:tcMar>
            <w:shd w:fill="EAF2F8"/>
          </w:tcPr>
          <w:p>
            <w:r>
              <w:rPr>
                <w:rFonts w:ascii="Times New Roman" w:hAnsi="Times New Roman"/>
                <w:sz w:val="14"/>
              </w:rPr>
              <w:t>[Bent ve sözel karşılık]</w:t>
            </w:r>
          </w:p>
        </w:tc>
        <w:tc>
          <w:tcPr>
            <w:tcW w:type="dxa" w:w="4493"/>
            <w:vAlign w:val="center"/>
            <w:tcMar>
              <w:top w:w="70" w:type="dxa"/>
              <w:start w:w="70" w:type="dxa"/>
              <w:bottom w:w="70" w:type="dxa"/>
              <w:end w:w="70" w:type="dxa"/>
            </w:tcMar>
            <w:shd w:fill="EAF2F8"/>
          </w:tcPr>
          <w:p>
            <w:r>
              <w:rPr>
                <w:rFonts w:ascii="Times New Roman" w:hAnsi="Times New Roman"/>
                <w:sz w:val="14"/>
              </w:rPr>
              <w:t>Delil bağlantısını denetleyin</w:t>
            </w:r>
          </w:p>
        </w:tc>
      </w:tr>
    </w:tbl>
    <w:p>
      <w:pPr>
        <w:pStyle w:val="Heading1"/>
      </w:pPr>
      <w:r>
        <w:t>Başvuru Öncesi Son Kontrol</w:t>
      </w:r>
    </w:p>
    <w:p>
      <w:pPr>
        <w:pStyle w:val="ListBullet"/>
      </w:pPr>
      <w:r>
        <w:t>İddianamedeki gerçek fiili ve suç tipinin unsurlarını ayrı yazın.</w:t>
      </w:r>
    </w:p>
    <w:p>
      <w:pPr>
        <w:pStyle w:val="ListBullet"/>
      </w:pPr>
      <w:r>
        <w:t>CMK 223/2-b ile 223/2-e arasındaki olumlu tespit–ispat yetersizliği farkını koruyun.</w:t>
      </w:r>
    </w:p>
    <w:p>
      <w:pPr>
        <w:pStyle w:val="ListBullet"/>
      </w:pPr>
      <w:r>
        <w:t>Her delilin tarihini, düzenleyenini, UYAP sırasını ve ilgili bölümünü gösterin.</w:t>
      </w:r>
    </w:p>
    <w:p>
      <w:pPr>
        <w:pStyle w:val="ListBullet"/>
      </w:pPr>
      <w:r>
        <w:t>Birincil ve alternatif talepleri hukuki sırayla yazın; kullanılmayan seçenekleri silin.</w:t>
      </w:r>
    </w:p>
    <w:p>
      <w:pPr>
        <w:pStyle w:val="ListBullet"/>
      </w:pPr>
      <w:r>
        <w:t>Karar verilmişse kanun yolu, hukuki yarar ve tebliğ süresini ayrıca değerlendirin; bu dilekçenin süreyi durdurmadığını unutmayın.</w:t>
      </w:r>
    </w:p>
    <w:sectPr w:rsidR="00FC693F" w:rsidRPr="0006063C" w:rsidSect="00034616">
      <w:pgSz w:w="12240" w:h="15840"/>
      <w:pgMar w:top="634" w:right="922" w:bottom="634" w:left="9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yalnız gerçek dosya kayıtları ve güncel mevzuata göre uyarlanmalıdır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33" w:lineRule="auto"/>
    </w:pPr>
    <w:rPr>
      <w:rFonts w:ascii="Times New Roman" w:hAnsi="Times New Roman" w:eastAsia="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230/2 Beraat Hükmünde Dayanak Beraat Nedeninin Gösterilmesi Talep Dilekçesi</dc:title>
  <dc:subject>Beraat hükmünde CMK 223/2’deki dayanak bendin gerekçede açıkça gösterilmesi talebi</dc:subject>
  <dc:creator>Av. Halil Bakırcı</dc:creator>
  <cp:keywords>CMK 230/2, CMK 223/2, beraat gerekçesi, beraat nedeni</cp:keywords>
  <dc:description>generated by python-docx</dc:description>
  <cp:lastModifiedBy/>
  <cp:revision>1</cp:revision>
  <dcterms:created xsi:type="dcterms:W3CDTF">2013-12-23T23:15:00Z</dcterms:created>
  <dcterms:modified xsi:type="dcterms:W3CDTF">2013-12-23T23:15:00Z</dcterms:modified>
  <cp:category/>
</cp:coreProperties>
</file>