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230 3 Ceza Verilmesine Yer Olmadığı Kararında Dayanak Nedenin Gösterilmesi Talebi</w:t>
      </w:r>
    </w:p>
    <w:p>
      <w:pPr>
        <w:jc w:val="center"/>
      </w:pPr>
      <w:r>
        <w:rPr>
          <w:b/>
          <w:sz w:val="20"/>
        </w:rPr>
        <w:t>[YARGILAMAYI YÜRÜTEN CEZA MAHKEMESİNE]</w:t>
      </w:r>
    </w:p>
    <w:p>
      <w:pPr>
        <w:spacing w:after="24"/>
      </w:pPr>
      <w:r>
        <w:rPr>
          <w:b/>
        </w:rPr>
        <w:t xml:space="preserve">ESAS NO: </w:t>
      </w:r>
      <w:r>
        <w:t>[Gerçek esas numarası]</w:t>
      </w:r>
    </w:p>
    <w:p>
      <w:pPr>
        <w:spacing w:after="24"/>
      </w:pPr>
      <w:r>
        <w:rPr>
          <w:b/>
        </w:rPr>
        <w:t xml:space="preserve">SANIK: </w:t>
      </w:r>
      <w:r>
        <w:t>[Ad soyad ve gerçek kimlik bilgileri]</w:t>
      </w:r>
    </w:p>
    <w:p>
      <w:pPr>
        <w:spacing w:after="24"/>
      </w:pPr>
      <w:r>
        <w:rPr>
          <w:b/>
        </w:rPr>
        <w:t xml:space="preserve">MÜDAFİİ: </w:t>
      </w:r>
      <w:r>
        <w:t>[Varsa ad soyad, baro-sicil ve adres]</w:t>
      </w:r>
    </w:p>
    <w:p>
      <w:r>
        <w:rPr>
          <w:b/>
        </w:rPr>
        <w:t xml:space="preserve">KONU: </w:t>
      </w:r>
      <w:r>
        <w:t>Ceza verilmesine yer olmadığı kararı değerlendirilirken somut kanuni nedenin ve gerçek dosya kayıtlarının tartışılması; bu karar kurulursa CMK m.230/3 uyarınca m.223/3 veya m.223/4'ün hangi bent ve hâline dayanıldığının gerekçede açıkça gösterilmesi talebidir.</w:t>
      </w:r>
    </w:p>
    <w:p>
      <w:pPr>
        <w:pStyle w:val="Heading1"/>
      </w:pPr>
      <w:r>
        <w:t>AÇIKLAMALAR</w:t>
      </w:r>
    </w:p>
    <w:p>
      <w:pPr>
        <w:spacing w:after="36"/>
        <w:ind w:firstLine="288"/>
      </w:pPr>
      <w:r>
        <w:rPr>
          <w:b/>
        </w:rPr>
        <w:t xml:space="preserve">1. </w:t>
      </w:r>
      <w:r>
        <w:t>Mahkemenizin [esas no] sayılı dosyasında [iddianame tarih ve sayısı] tarihli iddianameyle [isnat edilen suç] nedeniyle kamu davası açılmıştır. Yüklenen somut fiil [gerçek fiil özeti] biçiminde anlatılmıştır. Bu dilekçe dosyada bulunmayan bir olguyu varsaymamakta, mahkemenin delil takdirini ve hukuki nitelendirme yetkisini ortadan kaldırmamaktadır.</w:t>
      </w:r>
    </w:p>
    <w:p>
      <w:pPr>
        <w:spacing w:after="36"/>
        <w:ind w:firstLine="288"/>
      </w:pPr>
      <w:r>
        <w:rPr>
          <w:b/>
        </w:rPr>
        <w:t xml:space="preserve">2. </w:t>
      </w:r>
      <w:r>
        <w:t>Savunmanın ceza verilmesine yer olmadığı değerlendirmesine ilişkin birincil hukuki nedeni [CMK m.223/3-a, b, c, d veya m.223/4-a, b, c, d seçeneklerinden dosyaya uygun olanı]dır. Dayanak kayıtlar [belge/rapor/tutanak 1'in tam kimliği], [kayıt 2'nin tam kimliği] ve [duruşma tarihi-tutanak sayfası]dır. Kullanılmayan alternatifler sunulacak metinden çıkarılacaktır.</w:t>
      </w:r>
    </w:p>
    <w:p>
      <w:pPr>
        <w:spacing w:after="36"/>
        <w:ind w:firstLine="288"/>
      </w:pPr>
      <w:r>
        <w:rPr>
          <w:b/>
        </w:rPr>
        <w:t xml:space="preserve">3. </w:t>
      </w:r>
      <w:r>
        <w:t>CMK m.223/3; yaş küçüklüğü, akıl hastalığı, sağır ve dilsizlik veya geçici neden; hukuka aykırı fakat bağlayıcı emir, zorunluluk hâli, cebir veya tehdit; meşru savunmada sınırın heyecan, korku ve telaş nedeniyle aşılması ya da kusurluluğu ortadan kaldıran hata nedeniyle failin kusurunun bulunmamasını düzenler. Somut dosyada ileri sürülen alt neden [tam alt bent ve hukuki dayanak] olup bu nedeni desteklediği ileri sürülen kayıt [tam kayıt]tır.</w:t>
      </w:r>
    </w:p>
    <w:p>
      <w:pPr>
        <w:spacing w:after="36"/>
        <w:ind w:firstLine="288"/>
      </w:pPr>
      <w:r>
        <w:rPr>
          <w:b/>
        </w:rPr>
        <w:t xml:space="preserve">4. </w:t>
      </w:r>
      <w:r>
        <w:t>[CMK m.223/3-a kullanılacaksa:] Sanığın fiil tarihindeki yaşı, akıl sağlığı veya geçici durumuna ilişkin gerçek kayıt [doğum kaydı/uzman raporu/sağlık kurulu raporu ve tarihi]dir. Her yaş küçüklüğü veya ruhsal tanı otomatik olarak ceza verilmesine yer olmadığı sonucu doğurmaz. Uygulanması istenen TCK hükmü ve bu hükmün koşullarına ilişkin rapor bulgusu [somut bilgi]dir.</w:t>
      </w:r>
    </w:p>
    <w:p>
      <w:pPr>
        <w:spacing w:after="36"/>
        <w:ind w:firstLine="288"/>
      </w:pPr>
      <w:r>
        <w:rPr>
          <w:b/>
        </w:rPr>
        <w:t xml:space="preserve">5. </w:t>
      </w:r>
      <w:r>
        <w:t>[CMK m.223/3-b kullanılacaksa:] İleri sürülen neden [hukuka aykırı fakat bağlayıcı emir/zorunluluk hâli/cebir/tehdit] olup olayın bu koşulunu gösterdiği ileri sürülen kayıt [tam kayıt]tır. Emrin kaynağı, bağlayıcılık ilişkisi; tehlikenin ağırlığı; cebir veya tehdidin niteliği ve kaçınma olanağı dosyadaki somut bilgilerle açıklanmalıdır.</w:t>
      </w:r>
    </w:p>
    <w:p>
      <w:pPr>
        <w:spacing w:after="36"/>
        <w:ind w:firstLine="288"/>
      </w:pPr>
      <w:r>
        <w:rPr>
          <w:b/>
        </w:rPr>
        <w:t xml:space="preserve">6. </w:t>
      </w:r>
      <w:r>
        <w:t>[CMK m.223/3-c veya d kullanılacaksa:] Meşru savunmada sınırın heyecan, korku veya telaşla aşılması ya da kusurluluğu kaldıran hata iddiası [olay akışı ve gerçek kayıt]la ilişkilidir. Hukuka uygunluk nedeni, sınırın kusurluluğu kaldıran nedenle aşılması ve haksızlık yanılgısı aynı kavram gibi kullanılmamıştır; talep edilen alt bent açıkça ayrılmıştır.</w:t>
      </w:r>
    </w:p>
    <w:p>
      <w:pPr>
        <w:spacing w:after="36"/>
        <w:ind w:firstLine="288"/>
      </w:pPr>
      <w:r>
        <w:rPr>
          <w:b/>
        </w:rPr>
        <w:t xml:space="preserve">7. </w:t>
      </w:r>
      <w:r>
        <w:t>CMK m.223/4, işlenen fiilin suç olma özelliğini sürdürmesine rağmen etkin pişmanlık; şahsî cezasızlık sebebi; karşılıklı hakaret veya fiilin haksızlık içeriğinin azlığı nedeniyle faile ceza verilmemesini düzenler. Savunmanın dayandığı özel düzenleme [kanun-madde-bent], koşulların gerçekleştiğini gösterdiği ileri sürülen kayıt ise [ödeme/iade/akrabalık ilişkisi/karşılıklı sözlerin tam tutanağı/fiilin somut özellikleri]dir.</w:t>
      </w:r>
    </w:p>
    <w:p>
      <w:pPr>
        <w:spacing w:after="36"/>
        <w:ind w:firstLine="288"/>
      </w:pPr>
      <w:r>
        <w:rPr>
          <w:b/>
        </w:rPr>
        <w:t xml:space="preserve">8. </w:t>
      </w:r>
      <w:r>
        <w:t>[CMK m.223/4-a kullanılacaksa:] Etkin pişmanlığın her suçta ve her aşamada cezasızlık doğurmadığı gözetilmiştir. Somut suç tipine uygulanabilen özel hüküm [madde], aranan zaman ve davranış koşulu [koşul], bunların gerçekleştiğini gösteren belge [tam kayıt]tır. Hüküm yalnız indirim öngörüyorsa m.223/4-a kapsamında cezasızlık sonucu talep edilmemelidir.</w:t>
      </w:r>
    </w:p>
    <w:p>
      <w:pPr>
        <w:spacing w:after="36"/>
        <w:ind w:firstLine="288"/>
      </w:pPr>
      <w:r>
        <w:rPr>
          <w:b/>
        </w:rPr>
        <w:t xml:space="preserve">9. </w:t>
      </w:r>
      <w:r>
        <w:t>[CMK m.223/4-b, c veya d kullanılacaksa:] Şahsî cezasızlık sebebinin kanuni kaynağı, karşılıklı hakarette söz veya davranışların sırası ve bağlantısı ya da fiilin haksızlık içeriğinin azlığına ilişkin özel hüküm [tam kanun maddesi] olarak gösterilmiştir. Bu nedenler genel bir hakkaniyet yetkisi değildir; kanunun somut olaya uygulanabilen koşulları gerçek kayıtlarla karşılaştırılmalıdır.</w:t>
      </w:r>
    </w:p>
    <w:p>
      <w:pPr>
        <w:spacing w:after="36"/>
        <w:ind w:firstLine="288"/>
      </w:pPr>
      <w:r>
        <w:rPr>
          <w:b/>
        </w:rPr>
        <w:t xml:space="preserve">10. </w:t>
      </w:r>
      <w:r>
        <w:t>CMK m.230/3, ceza verilmesine yer olmadığı kararının gerekçesinde m.223/3 veya m.223/4'teki hâllerden hangisine dayanıldığının gösterilmesini zorunlu kılar. Bu nedenle böyle bir hüküm kurulursa yalnız sonuç cümlesiyle yetinilmemesini; uygulanan fıkra ve bendin, ilgili özel ceza normunun ve belirleyici kayıtların gerekçede açıkça gösterilmesini talep ediyoruz.</w:t>
      </w:r>
    </w:p>
    <w:p>
      <w:pPr>
        <w:spacing w:after="36"/>
        <w:ind w:firstLine="288"/>
      </w:pPr>
      <w:r>
        <w:rPr>
          <w:b/>
        </w:rPr>
        <w:t xml:space="preserve">11. </w:t>
      </w:r>
      <w:r>
        <w:t>Mahkemeniz savunmada belirtilenden farklı bir nedenin gerçekleştiği kanaatine ulaşırsa belirlenen neden ile dayanak kayıtların kararda açıklanması gerekir. Bu istem belirli bir hüküm, güvenlik tedbiri veya kanun yolu sonucu garantisi içermez. Ceza verilmemesi, özellikle akıl hastalığına ilişkin dosyalarda güvenlik tedbiri değerlendirmesi yapılmayacağı anlamına gelmez.</w:t>
      </w:r>
    </w:p>
    <w:p>
      <w:r>
        <w:rPr>
          <w:b/>
        </w:rPr>
        <w:t xml:space="preserve">HUKUKİ NEDENLER: </w:t>
      </w:r>
      <w:r>
        <w:t>Anayasa m.36 ve 141/3; 5271 sayılı CMK m.34, 217, 223/3, 223/4, 230/3; somut nedene göre 5237 sayılı TCK'nın ilgili hükümleri ve uygulanabilir diğer mevzuat.</w:t>
      </w:r>
    </w:p>
    <w:p>
      <w:r>
        <w:rPr>
          <w:b/>
        </w:rPr>
        <w:t xml:space="preserve">DELİL VE EKLER: </w:t>
      </w:r>
      <w:r>
        <w:t>İddianame; duruşma tutanakları; esas hakkındaki mütalaa; savunmalar; yalnız gerçekten mevcut yaş, sağlık, uzman, sosyal inceleme, emir, tehdit, giderim, ödeme, iade ve iletişim kayıtları; UYAP evrak listesi; somut olaya ilişkin diğer kanuni deliller.</w:t>
      </w:r>
    </w:p>
    <w:p>
      <w:r>
        <w:rPr>
          <w:b/>
        </w:rPr>
        <w:t xml:space="preserve">SONUÇ VE İSTEM: </w:t>
      </w:r>
      <w:r>
        <w:t>Açıklanan nedenlerle, [dosyaya uygun CMK m.223/3 veya m.223/4 alt bendi] kapsamındaki savunmanın belirtilen gerçek kayıtlarla birlikte değerlendirilmesine; ceza verilmesine yer olmadığı kararı kurulması hâlinde CMK m.230/3 uyarınca hangi fıkra ve bende dayanıldığının, ilgili özel hükmün ve bu sonuca götüren belirleyici değerlendirmenin gerekçede açıkça gösterilmesine karar verilmesini saygıyla arz ve talep ederim. 07.10.2026</w:t>
      </w:r>
    </w:p>
    <w:p>
      <w:pPr>
        <w:jc w:val="right"/>
      </w:pPr>
      <w:r>
        <w:rPr>
          <w:b/>
        </w:rPr>
        <w:t>Sanık / Müdafii</w:t>
        <w:br/>
      </w:r>
      <w:r>
        <w:t>[Ad Soyad]</w:t>
        <w:br/>
        <w:t>(E-İMZALIDIR)</w:t>
      </w:r>
    </w:p>
    <w:p>
      <w:pPr>
        <w:sectPr>
          <w:footerReference w:type="default" r:id="rId9"/>
          <w:pgSz w:w="12240" w:h="15840"/>
          <w:pgMar w:top="619" w:right="907" w:bottom="619" w:left="907" w:header="720" w:footer="720" w:gutter="0"/>
          <w:cols w:space="720"/>
          <w:docGrid w:linePitch="360"/>
        </w:sectPr>
      </w:pPr>
    </w:p>
    <w:p>
      <w:pPr>
        <w:pStyle w:val="Heading1"/>
        <w:jc w:val="center"/>
      </w:pPr>
      <w:r>
        <w:t>CMK 223 3 ve 223 4 Dayanak Seçim Çizelgesi</w:t>
      </w:r>
    </w:p>
    <w:p>
      <w:r>
        <w:t>Yalnız somut dosyada kanuni ve maddi dayanağı bulunan satırlar doldurulmalı; kullanılmayan alternatifler mahkemeye sunulacak metinden çıkarılmalıdır.</w:t>
      </w:r>
    </w:p>
    <w:tbl>
      <w:tblPr>
        <w:tblStyle w:val="TableGrid"/>
        <w:tblW w:type="auto" w:w="0"/>
        <w:tblLayout w:type="fixed"/>
        <w:tblLook w:firstColumn="1" w:firstRow="1" w:lastColumn="0" w:lastRow="0" w:noHBand="0" w:noVBand="1" w:val="04A0"/>
      </w:tblPr>
      <w:tblGrid>
        <w:gridCol w:w="3475"/>
        <w:gridCol w:w="3475"/>
        <w:gridCol w:w="3475"/>
      </w:tblGrid>
      <w:tr>
        <w:trPr>
          <w:tblHeader w:val="true"/>
        </w:trPr>
        <w:tc>
          <w:tcPr>
            <w:tcW w:type="dxa" w:w="1613"/>
            <w:vAlign w:val="center"/>
            <w:tcMar>
              <w:top w:w="70" w:type="dxa"/>
              <w:start w:w="70" w:type="dxa"/>
              <w:bottom w:w="70" w:type="dxa"/>
              <w:end w:w="70" w:type="dxa"/>
            </w:tcMar>
            <w:shd w:fill="1F4E78"/>
          </w:tcPr>
          <w:p>
            <w:pPr>
              <w:jc w:val="center"/>
            </w:pPr>
            <w:r>
              <w:rPr>
                <w:b/>
                <w:color w:val="FFFFFF"/>
                <w:sz w:val="14"/>
              </w:rPr>
              <w:t>Bent / Kayıt</w:t>
            </w:r>
          </w:p>
        </w:tc>
        <w:tc>
          <w:tcPr>
            <w:tcW w:type="dxa" w:w="4248"/>
            <w:vAlign w:val="center"/>
            <w:tcMar>
              <w:top w:w="70" w:type="dxa"/>
              <w:start w:w="70" w:type="dxa"/>
              <w:bottom w:w="70" w:type="dxa"/>
              <w:end w:w="70" w:type="dxa"/>
            </w:tcMar>
            <w:shd w:fill="1F4E78"/>
          </w:tcPr>
          <w:p>
            <w:pPr>
              <w:jc w:val="center"/>
            </w:pPr>
            <w:r>
              <w:rPr>
                <w:b/>
                <w:color w:val="FFFFFF"/>
                <w:sz w:val="14"/>
              </w:rPr>
              <w:t>Kanuni Ölçüt</w:t>
            </w:r>
          </w:p>
        </w:tc>
        <w:tc>
          <w:tcPr>
            <w:tcW w:type="dxa" w:w="4104"/>
            <w:vAlign w:val="center"/>
            <w:tcMar>
              <w:top w:w="70" w:type="dxa"/>
              <w:start w:w="70" w:type="dxa"/>
              <w:bottom w:w="70" w:type="dxa"/>
              <w:end w:w="70" w:type="dxa"/>
            </w:tcMar>
            <w:shd w:fill="1F4E78"/>
          </w:tcPr>
          <w:p>
            <w:pPr>
              <w:jc w:val="center"/>
            </w:pPr>
            <w:r>
              <w:rPr>
                <w:b/>
                <w:color w:val="FFFFFF"/>
                <w:sz w:val="14"/>
              </w:rPr>
              <w:t>Dosyada Gösterilecek Dayanak</w:t>
            </w:r>
          </w:p>
        </w:tc>
      </w:tr>
      <w:tr>
        <w:tc>
          <w:tcPr>
            <w:tcW w:type="dxa" w:w="1613"/>
            <w:vAlign w:val="center"/>
            <w:tcMar>
              <w:top w:w="70" w:type="dxa"/>
              <w:start w:w="70" w:type="dxa"/>
              <w:bottom w:w="70" w:type="dxa"/>
              <w:end w:w="70" w:type="dxa"/>
            </w:tcMar>
          </w:tcPr>
          <w:p>
            <w:r>
              <w:rPr>
                <w:rFonts w:ascii="Times New Roman" w:hAnsi="Times New Roman"/>
                <w:sz w:val="14"/>
              </w:rPr>
              <w:t>223/3-a</w:t>
            </w:r>
          </w:p>
        </w:tc>
        <w:tc>
          <w:tcPr>
            <w:tcW w:type="dxa" w:w="4248"/>
            <w:vAlign w:val="center"/>
            <w:tcMar>
              <w:top w:w="70" w:type="dxa"/>
              <w:start w:w="70" w:type="dxa"/>
              <w:bottom w:w="70" w:type="dxa"/>
              <w:end w:w="70" w:type="dxa"/>
            </w:tcMar>
          </w:tcPr>
          <w:p>
            <w:r>
              <w:rPr>
                <w:rFonts w:ascii="Times New Roman" w:hAnsi="Times New Roman"/>
                <w:sz w:val="14"/>
              </w:rPr>
              <w:t>Yaş, akıl hastalığı, sağır-dilsizlik, geçici neden</w:t>
            </w:r>
          </w:p>
        </w:tc>
        <w:tc>
          <w:tcPr>
            <w:tcW w:type="dxa" w:w="4104"/>
            <w:vAlign w:val="center"/>
            <w:tcMar>
              <w:top w:w="70" w:type="dxa"/>
              <w:start w:w="70" w:type="dxa"/>
              <w:bottom w:w="70" w:type="dxa"/>
              <w:end w:w="70" w:type="dxa"/>
            </w:tcMar>
          </w:tcPr>
          <w:p>
            <w:r>
              <w:rPr>
                <w:rFonts w:ascii="Times New Roman" w:hAnsi="Times New Roman"/>
                <w:sz w:val="14"/>
              </w:rPr>
              <w:t>Yaş/rapor ve ilgili TCK hükmü</w:t>
            </w:r>
          </w:p>
        </w:tc>
      </w:tr>
      <w:tr>
        <w:tc>
          <w:tcPr>
            <w:tcW w:type="dxa" w:w="1613"/>
            <w:vAlign w:val="center"/>
            <w:tcMar>
              <w:top w:w="70" w:type="dxa"/>
              <w:start w:w="70" w:type="dxa"/>
              <w:bottom w:w="70" w:type="dxa"/>
              <w:end w:w="70" w:type="dxa"/>
            </w:tcMar>
            <w:shd w:fill="EAF2F8"/>
          </w:tcPr>
          <w:p>
            <w:r>
              <w:rPr>
                <w:rFonts w:ascii="Times New Roman" w:hAnsi="Times New Roman"/>
                <w:sz w:val="14"/>
              </w:rPr>
              <w:t>223/3-b</w:t>
            </w:r>
          </w:p>
        </w:tc>
        <w:tc>
          <w:tcPr>
            <w:tcW w:type="dxa" w:w="4248"/>
            <w:vAlign w:val="center"/>
            <w:tcMar>
              <w:top w:w="70" w:type="dxa"/>
              <w:start w:w="70" w:type="dxa"/>
              <w:bottom w:w="70" w:type="dxa"/>
              <w:end w:w="70" w:type="dxa"/>
            </w:tcMar>
            <w:shd w:fill="EAF2F8"/>
          </w:tcPr>
          <w:p>
            <w:r>
              <w:rPr>
                <w:rFonts w:ascii="Times New Roman" w:hAnsi="Times New Roman"/>
                <w:sz w:val="14"/>
              </w:rPr>
              <w:t>Bağlayıcı emir, zorunluluk, cebir veya tehdit</w:t>
            </w:r>
          </w:p>
        </w:tc>
        <w:tc>
          <w:tcPr>
            <w:tcW w:type="dxa" w:w="4104"/>
            <w:vAlign w:val="center"/>
            <w:tcMar>
              <w:top w:w="70" w:type="dxa"/>
              <w:start w:w="70" w:type="dxa"/>
              <w:bottom w:w="70" w:type="dxa"/>
              <w:end w:w="70" w:type="dxa"/>
            </w:tcMar>
            <w:shd w:fill="EAF2F8"/>
          </w:tcPr>
          <w:p>
            <w:r>
              <w:rPr>
                <w:rFonts w:ascii="Times New Roman" w:hAnsi="Times New Roman"/>
                <w:sz w:val="14"/>
              </w:rPr>
              <w:t>Emir/tehlike/tehdit kaydı</w:t>
            </w:r>
          </w:p>
        </w:tc>
      </w:tr>
      <w:tr>
        <w:tc>
          <w:tcPr>
            <w:tcW w:type="dxa" w:w="1613"/>
            <w:vAlign w:val="center"/>
            <w:tcMar>
              <w:top w:w="70" w:type="dxa"/>
              <w:start w:w="70" w:type="dxa"/>
              <w:bottom w:w="70" w:type="dxa"/>
              <w:end w:w="70" w:type="dxa"/>
            </w:tcMar>
          </w:tcPr>
          <w:p>
            <w:r>
              <w:rPr>
                <w:rFonts w:ascii="Times New Roman" w:hAnsi="Times New Roman"/>
                <w:sz w:val="14"/>
              </w:rPr>
              <w:t>223/3-c</w:t>
            </w:r>
          </w:p>
        </w:tc>
        <w:tc>
          <w:tcPr>
            <w:tcW w:type="dxa" w:w="4248"/>
            <w:vAlign w:val="center"/>
            <w:tcMar>
              <w:top w:w="70" w:type="dxa"/>
              <w:start w:w="70" w:type="dxa"/>
              <w:bottom w:w="70" w:type="dxa"/>
              <w:end w:w="70" w:type="dxa"/>
            </w:tcMar>
          </w:tcPr>
          <w:p>
            <w:r>
              <w:rPr>
                <w:rFonts w:ascii="Times New Roman" w:hAnsi="Times New Roman"/>
                <w:sz w:val="14"/>
              </w:rPr>
              <w:t>Meşru savunmada sınırın heyecan, korku, telaşla aşılması</w:t>
            </w:r>
          </w:p>
        </w:tc>
        <w:tc>
          <w:tcPr>
            <w:tcW w:type="dxa" w:w="4104"/>
            <w:vAlign w:val="center"/>
            <w:tcMar>
              <w:top w:w="70" w:type="dxa"/>
              <w:start w:w="70" w:type="dxa"/>
              <w:bottom w:w="70" w:type="dxa"/>
              <w:end w:w="70" w:type="dxa"/>
            </w:tcMar>
          </w:tcPr>
          <w:p>
            <w:r>
              <w:rPr>
                <w:rFonts w:ascii="Times New Roman" w:hAnsi="Times New Roman"/>
                <w:sz w:val="14"/>
              </w:rPr>
              <w:t>Saldırı ve psikolojik durum kaydı</w:t>
            </w:r>
          </w:p>
        </w:tc>
      </w:tr>
      <w:tr>
        <w:tc>
          <w:tcPr>
            <w:tcW w:type="dxa" w:w="1613"/>
            <w:vAlign w:val="center"/>
            <w:tcMar>
              <w:top w:w="70" w:type="dxa"/>
              <w:start w:w="70" w:type="dxa"/>
              <w:bottom w:w="70" w:type="dxa"/>
              <w:end w:w="70" w:type="dxa"/>
            </w:tcMar>
            <w:shd w:fill="EAF2F8"/>
          </w:tcPr>
          <w:p>
            <w:r>
              <w:rPr>
                <w:rFonts w:ascii="Times New Roman" w:hAnsi="Times New Roman"/>
                <w:sz w:val="14"/>
              </w:rPr>
              <w:t>223/3-d</w:t>
            </w:r>
          </w:p>
        </w:tc>
        <w:tc>
          <w:tcPr>
            <w:tcW w:type="dxa" w:w="4248"/>
            <w:vAlign w:val="center"/>
            <w:tcMar>
              <w:top w:w="70" w:type="dxa"/>
              <w:start w:w="70" w:type="dxa"/>
              <w:bottom w:w="70" w:type="dxa"/>
              <w:end w:w="70" w:type="dxa"/>
            </w:tcMar>
            <w:shd w:fill="EAF2F8"/>
          </w:tcPr>
          <w:p>
            <w:r>
              <w:rPr>
                <w:rFonts w:ascii="Times New Roman" w:hAnsi="Times New Roman"/>
                <w:sz w:val="14"/>
              </w:rPr>
              <w:t>Kusurluluğu kaldıran hata</w:t>
            </w:r>
          </w:p>
        </w:tc>
        <w:tc>
          <w:tcPr>
            <w:tcW w:type="dxa" w:w="4104"/>
            <w:vAlign w:val="center"/>
            <w:tcMar>
              <w:top w:w="70" w:type="dxa"/>
              <w:start w:w="70" w:type="dxa"/>
              <w:bottom w:w="70" w:type="dxa"/>
              <w:end w:w="70" w:type="dxa"/>
            </w:tcMar>
            <w:shd w:fill="EAF2F8"/>
          </w:tcPr>
          <w:p>
            <w:r>
              <w:rPr>
                <w:rFonts w:ascii="Times New Roman" w:hAnsi="Times New Roman"/>
                <w:sz w:val="14"/>
              </w:rPr>
              <w:t>Hatanın kaçınılmazlığına ilişkin kayıt</w:t>
            </w:r>
          </w:p>
        </w:tc>
      </w:tr>
      <w:tr>
        <w:tc>
          <w:tcPr>
            <w:tcW w:type="dxa" w:w="1613"/>
            <w:vAlign w:val="center"/>
            <w:tcMar>
              <w:top w:w="70" w:type="dxa"/>
              <w:start w:w="70" w:type="dxa"/>
              <w:bottom w:w="70" w:type="dxa"/>
              <w:end w:w="70" w:type="dxa"/>
            </w:tcMar>
          </w:tcPr>
          <w:p>
            <w:r>
              <w:rPr>
                <w:rFonts w:ascii="Times New Roman" w:hAnsi="Times New Roman"/>
                <w:sz w:val="14"/>
              </w:rPr>
              <w:t>223/4-a</w:t>
            </w:r>
          </w:p>
        </w:tc>
        <w:tc>
          <w:tcPr>
            <w:tcW w:type="dxa" w:w="4248"/>
            <w:vAlign w:val="center"/>
            <w:tcMar>
              <w:top w:w="70" w:type="dxa"/>
              <w:start w:w="70" w:type="dxa"/>
              <w:bottom w:w="70" w:type="dxa"/>
              <w:end w:w="70" w:type="dxa"/>
            </w:tcMar>
          </w:tcPr>
          <w:p>
            <w:r>
              <w:rPr>
                <w:rFonts w:ascii="Times New Roman" w:hAnsi="Times New Roman"/>
                <w:sz w:val="14"/>
              </w:rPr>
              <w:t>Cezasızlık sağlayan etkin pişmanlık</w:t>
            </w:r>
          </w:p>
        </w:tc>
        <w:tc>
          <w:tcPr>
            <w:tcW w:type="dxa" w:w="4104"/>
            <w:vAlign w:val="center"/>
            <w:tcMar>
              <w:top w:w="70" w:type="dxa"/>
              <w:start w:w="70" w:type="dxa"/>
              <w:bottom w:w="70" w:type="dxa"/>
              <w:end w:w="70" w:type="dxa"/>
            </w:tcMar>
          </w:tcPr>
          <w:p>
            <w:r>
              <w:rPr>
                <w:rFonts w:ascii="Times New Roman" w:hAnsi="Times New Roman"/>
                <w:sz w:val="14"/>
              </w:rPr>
              <w:t>Özel hüküm, zaman, giderim belgesi</w:t>
            </w:r>
          </w:p>
        </w:tc>
      </w:tr>
      <w:tr>
        <w:tc>
          <w:tcPr>
            <w:tcW w:type="dxa" w:w="1613"/>
            <w:vAlign w:val="center"/>
            <w:tcMar>
              <w:top w:w="70" w:type="dxa"/>
              <w:start w:w="70" w:type="dxa"/>
              <w:bottom w:w="70" w:type="dxa"/>
              <w:end w:w="70" w:type="dxa"/>
            </w:tcMar>
            <w:shd w:fill="EAF2F8"/>
          </w:tcPr>
          <w:p>
            <w:r>
              <w:rPr>
                <w:rFonts w:ascii="Times New Roman" w:hAnsi="Times New Roman"/>
                <w:sz w:val="14"/>
              </w:rPr>
              <w:t>223/4-b</w:t>
            </w:r>
          </w:p>
        </w:tc>
        <w:tc>
          <w:tcPr>
            <w:tcW w:type="dxa" w:w="4248"/>
            <w:vAlign w:val="center"/>
            <w:tcMar>
              <w:top w:w="70" w:type="dxa"/>
              <w:start w:w="70" w:type="dxa"/>
              <w:bottom w:w="70" w:type="dxa"/>
              <w:end w:w="70" w:type="dxa"/>
            </w:tcMar>
            <w:shd w:fill="EAF2F8"/>
          </w:tcPr>
          <w:p>
            <w:r>
              <w:rPr>
                <w:rFonts w:ascii="Times New Roman" w:hAnsi="Times New Roman"/>
                <w:sz w:val="14"/>
              </w:rPr>
              <w:t>Şahsî cezasızlık sebebi</w:t>
            </w:r>
          </w:p>
        </w:tc>
        <w:tc>
          <w:tcPr>
            <w:tcW w:type="dxa" w:w="4104"/>
            <w:vAlign w:val="center"/>
            <w:tcMar>
              <w:top w:w="70" w:type="dxa"/>
              <w:start w:w="70" w:type="dxa"/>
              <w:bottom w:w="70" w:type="dxa"/>
              <w:end w:w="70" w:type="dxa"/>
            </w:tcMar>
            <w:shd w:fill="EAF2F8"/>
          </w:tcPr>
          <w:p>
            <w:r>
              <w:rPr>
                <w:rFonts w:ascii="Times New Roman" w:hAnsi="Times New Roman"/>
                <w:sz w:val="14"/>
              </w:rPr>
              <w:t>Özel hüküm ve kişisel ilişki kaydı</w:t>
            </w:r>
          </w:p>
        </w:tc>
      </w:tr>
      <w:tr>
        <w:tc>
          <w:tcPr>
            <w:tcW w:type="dxa" w:w="1613"/>
            <w:vAlign w:val="center"/>
            <w:tcMar>
              <w:top w:w="70" w:type="dxa"/>
              <w:start w:w="70" w:type="dxa"/>
              <w:bottom w:w="70" w:type="dxa"/>
              <w:end w:w="70" w:type="dxa"/>
            </w:tcMar>
          </w:tcPr>
          <w:p>
            <w:r>
              <w:rPr>
                <w:rFonts w:ascii="Times New Roman" w:hAnsi="Times New Roman"/>
                <w:sz w:val="14"/>
              </w:rPr>
              <w:t>223/4-c</w:t>
            </w:r>
          </w:p>
        </w:tc>
        <w:tc>
          <w:tcPr>
            <w:tcW w:type="dxa" w:w="4248"/>
            <w:vAlign w:val="center"/>
            <w:tcMar>
              <w:top w:w="70" w:type="dxa"/>
              <w:start w:w="70" w:type="dxa"/>
              <w:bottom w:w="70" w:type="dxa"/>
              <w:end w:w="70" w:type="dxa"/>
            </w:tcMar>
          </w:tcPr>
          <w:p>
            <w:r>
              <w:rPr>
                <w:rFonts w:ascii="Times New Roman" w:hAnsi="Times New Roman"/>
                <w:sz w:val="14"/>
              </w:rPr>
              <w:t>Karşılıklı hakaret</w:t>
            </w:r>
          </w:p>
        </w:tc>
        <w:tc>
          <w:tcPr>
            <w:tcW w:type="dxa" w:w="4104"/>
            <w:vAlign w:val="center"/>
            <w:tcMar>
              <w:top w:w="70" w:type="dxa"/>
              <w:start w:w="70" w:type="dxa"/>
              <w:bottom w:w="70" w:type="dxa"/>
              <w:end w:w="70" w:type="dxa"/>
            </w:tcMar>
          </w:tcPr>
          <w:p>
            <w:r>
              <w:rPr>
                <w:rFonts w:ascii="Times New Roman" w:hAnsi="Times New Roman"/>
                <w:sz w:val="14"/>
              </w:rPr>
              <w:t>Sözlerin sırası ve tam tutanak</w:t>
            </w:r>
          </w:p>
        </w:tc>
      </w:tr>
      <w:tr>
        <w:tc>
          <w:tcPr>
            <w:tcW w:type="dxa" w:w="1613"/>
            <w:vAlign w:val="center"/>
            <w:tcMar>
              <w:top w:w="70" w:type="dxa"/>
              <w:start w:w="70" w:type="dxa"/>
              <w:bottom w:w="70" w:type="dxa"/>
              <w:end w:w="70" w:type="dxa"/>
            </w:tcMar>
            <w:shd w:fill="EAF2F8"/>
          </w:tcPr>
          <w:p>
            <w:r>
              <w:rPr>
                <w:rFonts w:ascii="Times New Roman" w:hAnsi="Times New Roman"/>
                <w:sz w:val="14"/>
              </w:rPr>
              <w:t>223/4-d</w:t>
            </w:r>
          </w:p>
        </w:tc>
        <w:tc>
          <w:tcPr>
            <w:tcW w:type="dxa" w:w="4248"/>
            <w:vAlign w:val="center"/>
            <w:tcMar>
              <w:top w:w="70" w:type="dxa"/>
              <w:start w:w="70" w:type="dxa"/>
              <w:bottom w:w="70" w:type="dxa"/>
              <w:end w:w="70" w:type="dxa"/>
            </w:tcMar>
            <w:shd w:fill="EAF2F8"/>
          </w:tcPr>
          <w:p>
            <w:r>
              <w:rPr>
                <w:rFonts w:ascii="Times New Roman" w:hAnsi="Times New Roman"/>
                <w:sz w:val="14"/>
              </w:rPr>
              <w:t>Fiilin haksızlık içeriğinin azlığı</w:t>
            </w:r>
          </w:p>
        </w:tc>
        <w:tc>
          <w:tcPr>
            <w:tcW w:type="dxa" w:w="4104"/>
            <w:vAlign w:val="center"/>
            <w:tcMar>
              <w:top w:w="70" w:type="dxa"/>
              <w:start w:w="70" w:type="dxa"/>
              <w:bottom w:w="70" w:type="dxa"/>
              <w:end w:w="70" w:type="dxa"/>
            </w:tcMar>
            <w:shd w:fill="EAF2F8"/>
          </w:tcPr>
          <w:p>
            <w:r>
              <w:rPr>
                <w:rFonts w:ascii="Times New Roman" w:hAnsi="Times New Roman"/>
                <w:sz w:val="14"/>
              </w:rPr>
              <w:t>Özel hüküm ve somut olay özellikleri</w:t>
            </w:r>
          </w:p>
        </w:tc>
      </w:tr>
      <w:tr>
        <w:tc>
          <w:tcPr>
            <w:tcW w:type="dxa" w:w="1613"/>
            <w:vAlign w:val="center"/>
            <w:tcMar>
              <w:top w:w="70" w:type="dxa"/>
              <w:start w:w="70" w:type="dxa"/>
              <w:bottom w:w="70" w:type="dxa"/>
              <w:end w:w="70" w:type="dxa"/>
            </w:tcMar>
          </w:tcPr>
          <w:p>
            <w:r>
              <w:rPr>
                <w:rFonts w:ascii="Times New Roman" w:hAnsi="Times New Roman"/>
                <w:sz w:val="14"/>
              </w:rPr>
              <w:t>Mütalaa</w:t>
            </w:r>
          </w:p>
        </w:tc>
        <w:tc>
          <w:tcPr>
            <w:tcW w:type="dxa" w:w="4248"/>
            <w:vAlign w:val="center"/>
            <w:tcMar>
              <w:top w:w="70" w:type="dxa"/>
              <w:start w:w="70" w:type="dxa"/>
              <w:bottom w:w="70" w:type="dxa"/>
              <w:end w:w="70" w:type="dxa"/>
            </w:tcMar>
          </w:tcPr>
          <w:p>
            <w:r>
              <w:rPr>
                <w:rFonts w:ascii="Times New Roman" w:hAnsi="Times New Roman"/>
                <w:sz w:val="14"/>
              </w:rPr>
              <w:t>[Tarih ve talep]</w:t>
            </w:r>
          </w:p>
        </w:tc>
        <w:tc>
          <w:tcPr>
            <w:tcW w:type="dxa" w:w="4104"/>
            <w:vAlign w:val="center"/>
            <w:tcMar>
              <w:top w:w="70" w:type="dxa"/>
              <w:start w:w="70" w:type="dxa"/>
              <w:bottom w:w="70" w:type="dxa"/>
              <w:end w:w="70" w:type="dxa"/>
            </w:tcMar>
          </w:tcPr>
          <w:p>
            <w:r>
              <w:rPr>
                <w:rFonts w:ascii="Times New Roman" w:hAnsi="Times New Roman"/>
                <w:sz w:val="14"/>
              </w:rPr>
              <w:t>Dayanak kayıtlarla karşılaştırın</w:t>
            </w:r>
          </w:p>
        </w:tc>
      </w:tr>
      <w:tr>
        <w:tc>
          <w:tcPr>
            <w:tcW w:type="dxa" w:w="1613"/>
            <w:vAlign w:val="center"/>
            <w:tcMar>
              <w:top w:w="70" w:type="dxa"/>
              <w:start w:w="70" w:type="dxa"/>
              <w:bottom w:w="70" w:type="dxa"/>
              <w:end w:w="70" w:type="dxa"/>
            </w:tcMar>
            <w:shd w:fill="EAF2F8"/>
          </w:tcPr>
          <w:p>
            <w:r>
              <w:rPr>
                <w:rFonts w:ascii="Times New Roman" w:hAnsi="Times New Roman"/>
                <w:sz w:val="14"/>
              </w:rPr>
              <w:t>Gerekçe</w:t>
            </w:r>
          </w:p>
        </w:tc>
        <w:tc>
          <w:tcPr>
            <w:tcW w:type="dxa" w:w="4248"/>
            <w:vAlign w:val="center"/>
            <w:tcMar>
              <w:top w:w="70" w:type="dxa"/>
              <w:start w:w="70" w:type="dxa"/>
              <w:bottom w:w="70" w:type="dxa"/>
              <w:end w:w="70" w:type="dxa"/>
            </w:tcMar>
            <w:shd w:fill="EAF2F8"/>
          </w:tcPr>
          <w:p>
            <w:r>
              <w:rPr>
                <w:rFonts w:ascii="Times New Roman" w:hAnsi="Times New Roman"/>
                <w:sz w:val="14"/>
              </w:rPr>
              <w:t>[Fıkra-bent-özel hüküm]</w:t>
            </w:r>
          </w:p>
        </w:tc>
        <w:tc>
          <w:tcPr>
            <w:tcW w:type="dxa" w:w="4104"/>
            <w:vAlign w:val="center"/>
            <w:tcMar>
              <w:top w:w="70" w:type="dxa"/>
              <w:start w:w="70" w:type="dxa"/>
              <w:bottom w:w="70" w:type="dxa"/>
              <w:end w:w="70" w:type="dxa"/>
            </w:tcMar>
            <w:shd w:fill="EAF2F8"/>
          </w:tcPr>
          <w:p>
            <w:r>
              <w:rPr>
                <w:rFonts w:ascii="Times New Roman" w:hAnsi="Times New Roman"/>
                <w:sz w:val="14"/>
              </w:rPr>
              <w:t>Belirleyici kayıtları açıkça gösterin</w:t>
            </w:r>
          </w:p>
        </w:tc>
      </w:tr>
    </w:tbl>
    <w:p>
      <w:pPr>
        <w:pStyle w:val="Heading1"/>
      </w:pPr>
      <w:r>
        <w:t>Başvuru Öncesi Son Kontrol</w:t>
      </w:r>
    </w:p>
    <w:p>
      <w:pPr>
        <w:pStyle w:val="ListBullet"/>
      </w:pPr>
      <w:r>
        <w:t>İddianamedeki gerçek fiili ve uygulanması istenen özel ceza normunu tam yazın.</w:t>
      </w:r>
    </w:p>
    <w:p>
      <w:pPr>
        <w:pStyle w:val="ListBullet"/>
      </w:pPr>
      <w:r>
        <w:t>CMK 223/3'te kusurluluğun bulunmaması ile 223/4'te fiilin suç niteliği korunurken ceza verilmemesi ayrımını koruyun.</w:t>
      </w:r>
    </w:p>
    <w:p>
      <w:pPr>
        <w:pStyle w:val="ListBullet"/>
      </w:pPr>
      <w:r>
        <w:t>Yaş veya ruhsal tanıyı otomatik cezasızlık gibi sunmayın; gerekli uzman raporu ve kanuni koşulu gösterin.</w:t>
      </w:r>
    </w:p>
    <w:p>
      <w:pPr>
        <w:pStyle w:val="ListBullet"/>
      </w:pPr>
      <w:r>
        <w:t>Etkin pişmanlığın somut suçta cezasızlık mı yalnız indirim mi sağladığını özel hükümden doğrulayın.</w:t>
      </w:r>
    </w:p>
    <w:p>
      <w:pPr>
        <w:pStyle w:val="ListBullet"/>
      </w:pPr>
      <w:r>
        <w:t>Her delilin tarihini, düzenleyenini, UYAP sırasını ve ilgili bölümünü gösterin; kullanılmayan seçenekleri silin.</w:t>
      </w:r>
    </w:p>
    <w:p>
      <w:pPr>
        <w:pStyle w:val="ListBullet"/>
      </w:pPr>
      <w:r>
        <w:t>Karar verilmişse kanun yolu, hukuki yarar ve süreyi ayrıca inceleyin; bu dilekçenin süreyi durdurmadığını unutmayın.</w:t>
      </w:r>
    </w:p>
    <w:sectPr w:rsidR="00FC693F" w:rsidRPr="0006063C" w:rsidSect="00034616">
      <w:pgSz w:w="12240" w:h="15840"/>
      <w:pgMar w:top="619" w:right="907" w:bottom="619"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gerçek dosya kayıtları ve güncel mevzuata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1" w:line="230"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230 3 Ceza Verilmesine Yer Olmadığı Kararında Dayanak Nedenin Gösterilmesi Dilekçesi</dc:title>
  <dc:subject>CMK 223 3 veya 223 4 dayanak nedeninin gerekçede gösterilmesi talebi</dc:subject>
  <dc:creator>Av. Halil Bakırcı</dc:creator>
  <cp:keywords>CMK 230/3, CMK 223/3, CMK 223/4, ceza verilmesine yer olmadığı</cp:keywords>
  <dc:description>generated by python-docx</dc:description>
  <cp:lastModifiedBy/>
  <cp:revision>1</cp:revision>
  <dcterms:created xsi:type="dcterms:W3CDTF">2013-12-23T23:15:00Z</dcterms:created>
  <dcterms:modified xsi:type="dcterms:W3CDTF">2013-12-23T23:15:00Z</dcterms:modified>
  <cp:category/>
</cp:coreProperties>
</file>