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230 4 Diğer Karar ve Hükümlerde Gerekçe Gösterilmesi Talebi</w:t>
      </w:r>
    </w:p>
    <w:p>
      <w:pPr>
        <w:jc w:val="center"/>
      </w:pPr>
      <w:r>
        <w:rPr>
          <w:b/>
          <w:sz w:val="20"/>
        </w:rPr>
        <w:t>[YARGILAMAYI YÜRÜTEN CEZA MAHKEMESİNE]</w:t>
      </w:r>
    </w:p>
    <w:p>
      <w:pPr>
        <w:spacing w:after="24"/>
      </w:pPr>
      <w:r>
        <w:rPr>
          <w:b/>
        </w:rPr>
        <w:t xml:space="preserve">ESAS NO: </w:t>
      </w:r>
      <w:r>
        <w:t>[Gerçek esas numarası]</w:t>
      </w:r>
    </w:p>
    <w:p>
      <w:pPr>
        <w:spacing w:after="24"/>
      </w:pPr>
      <w:r>
        <w:rPr>
          <w:b/>
        </w:rPr>
        <w:t xml:space="preserve">SANIK: </w:t>
      </w:r>
      <w:r>
        <w:t>[Ad soyad ve gerçek kimlik bilgileri]</w:t>
      </w:r>
    </w:p>
    <w:p>
      <w:pPr>
        <w:spacing w:after="24"/>
      </w:pPr>
      <w:r>
        <w:rPr>
          <w:b/>
        </w:rPr>
        <w:t xml:space="preserve">MÜDAFİİ: </w:t>
      </w:r>
      <w:r>
        <w:t>[Varsa ad soyad, baro-sicil ve adres]</w:t>
      </w:r>
    </w:p>
    <w:p>
      <w:r>
        <w:rPr>
          <w:b/>
        </w:rPr>
        <w:t xml:space="preserve">KONU: </w:t>
      </w:r>
      <w:r>
        <w:t>Mahkûmiyet, beraat ve ceza verilmesine yer olmadığı dışındaki bir karar veya hüküm kurulması hâlinde, CMK m.230/4 uyarınca sonuca götüren özel kanuni dayanağın ve gerçek dosya kayıtlarının gerekçede açıkça gösterilmesi talebidir.</w:t>
      </w:r>
    </w:p>
    <w:p>
      <w:pPr>
        <w:pStyle w:val="Heading1"/>
      </w:pPr>
      <w:r>
        <w:t>AÇIKLAMALAR</w:t>
      </w:r>
    </w:p>
    <w:p>
      <w:pPr>
        <w:spacing w:after="36"/>
        <w:ind w:firstLine="288"/>
      </w:pPr>
      <w:r>
        <w:rPr>
          <w:b/>
        </w:rPr>
        <w:t xml:space="preserve">1. </w:t>
      </w:r>
      <w:r>
        <w:t>Mahkemenizin [esas no] sayılı dosyasında [iddianame tarih ve sayısı] tarihli iddianameyle [isnat edilen suç] nedeniyle kamu davası açılmıştır. Yüklenen somut fiil [gerçek fiil özeti]dir. Bu dilekçe mahkemenin delil takdiri ve hukuki nitelendirme yetkisini kaldırmamakta, dosyada bulunmayan bir olguyu varsaymamaktadır.</w:t>
      </w:r>
    </w:p>
    <w:p>
      <w:pPr>
        <w:spacing w:after="36"/>
        <w:ind w:firstLine="288"/>
      </w:pPr>
      <w:r>
        <w:rPr>
          <w:b/>
        </w:rPr>
        <w:t xml:space="preserve">2. </w:t>
      </w:r>
      <w:r>
        <w:t>Dosyada değerlendirilmesi gereken karar veya hüküm türü [davanın reddi/düşme/güvenlik tedbiri/durma/diğer karar] olup bunun özel kanuni dayanağı [kanun-madde-fıkra-bent]tir. CMK m.230/4 tek başına bu sonucu doğurmaz; kurulacak sonucun asıl normu ayrıca gösterilmelidir.</w:t>
      </w:r>
    </w:p>
    <w:p>
      <w:pPr>
        <w:spacing w:after="36"/>
        <w:ind w:firstLine="288"/>
      </w:pPr>
      <w:r>
        <w:rPr>
          <w:b/>
        </w:rPr>
        <w:t xml:space="preserve">3. </w:t>
      </w:r>
      <w:r>
        <w:t>Bu sonucun kanuni koşuluna ilişkin gerçek kayıtlar [belge 1'in tam kimliği], [belge 2'nin tam kimliği] ve [duruşma tarihi-tutanak sayfası]dır. Henüz getirtilmemiş kayıt varsa kaynağı, istenen tarih aralığı ve ispatlanmak istenen olgu belirtilmiş; mevcut olmayan karar, tebligat veya yazışma eklenmemiştir.</w:t>
      </w:r>
    </w:p>
    <w:p>
      <w:pPr>
        <w:spacing w:after="36"/>
        <w:ind w:firstLine="288"/>
      </w:pPr>
      <w:r>
        <w:rPr>
          <w:b/>
        </w:rPr>
        <w:t xml:space="preserve">4. </w:t>
      </w:r>
      <w:r>
        <w:t>[Davanın reddi ileri sürülüyorsa:] Önceki ve yeni dosyadaki sanık, fiil, zaman, yer, mağdur ve maddi olay [somut karşılaştırma] nedeniyle aynıdır/farklıdır. Önceki iddianame [bilgi], karar [bilgi] ve kesinleşme kaydı [bilgi]dir. Yalnız suç adının veya dosya taraflarının benzerliği fiil aynılığı gibi sunulmamıştır.</w:t>
      </w:r>
    </w:p>
    <w:p>
      <w:pPr>
        <w:spacing w:after="36"/>
        <w:ind w:firstLine="288"/>
      </w:pPr>
      <w:r>
        <w:rPr>
          <w:b/>
        </w:rPr>
        <w:t xml:space="preserve">5. </w:t>
      </w:r>
      <w:r>
        <w:t>[Düşme ileri sürülüyorsa:] Düşme sebebi [zamanaşımı/şikâyet-vazgeçme/ölüm/af/özel neden], başlangıç tarihi [tarih], sonucu etkileyen kesme veya durma işlemleri, tebligatlar ve beyanlar [tam kayıt]tır. Hesabın normu ve sonucu gösterilmiştir. CMK m.223/9 kapsamında ek araştırmasız derhâl beraat ihtimali varsa [somut açıklama] ayrıca değerlendirilmelidir.</w:t>
      </w:r>
    </w:p>
    <w:p>
      <w:pPr>
        <w:spacing w:after="36"/>
        <w:ind w:firstLine="288"/>
      </w:pPr>
      <w:r>
        <w:rPr>
          <w:b/>
        </w:rPr>
        <w:t xml:space="preserve">6. </w:t>
      </w:r>
      <w:r>
        <w:t>[Güvenlik tedbiri ileri sürülüyorsa:] Tedbirin türü ve kanuni koşulu [madde], fiil tarihiyle bağlantılı uzman kayıtları [rapor tarihi-kurumu], güncel değerlendirme [kayıt] ve ölçülülük yönünden belirleyici hususlar [açıklama]dır. Yalnız tanı adı otomatik güvenlik tedbiri nedeni olarak sunulmamıştır.</w:t>
      </w:r>
    </w:p>
    <w:p>
      <w:pPr>
        <w:spacing w:after="36"/>
        <w:ind w:firstLine="288"/>
      </w:pPr>
      <w:r>
        <w:rPr>
          <w:b/>
        </w:rPr>
        <w:t xml:space="preserve">7. </w:t>
      </w:r>
      <w:r>
        <w:t>[Durma veya başka ara karar ileri sürülüyorsa:] Özel muhakeme şartı veya karar ölçütü [madde], yetkili merci, başlatılmış işlem [tarih-sayı] ve şartın hâlâ gerçekleşebilir olduğunu gösteren kayıt [bilgi]dir. Eksik delil toplanması veya başka dosyanın yararlı görülmesi kendiliğinden CMK m.223/8 anlamında muhakeme şartı değildir.</w:t>
      </w:r>
    </w:p>
    <w:p>
      <w:pPr>
        <w:spacing w:after="36"/>
        <w:ind w:firstLine="288"/>
      </w:pPr>
      <w:r>
        <w:rPr>
          <w:b/>
        </w:rPr>
        <w:t xml:space="preserve">8. </w:t>
      </w:r>
      <w:r>
        <w:t>CMK m.34 ve m.230/4 uyarınca kurulacak kararın doğru hukuki adının, özel kanuni dayanağının, belirleyici kayıtların ve bu kayıtlarla sonuç arasındaki bağın gerekçede gösterilmesini talep ediyoruz. Savunmanın sonuca etkili [itirazın özeti] itirazının kabul veya reddedilme nedeni de denetlenebilir biçimde açıklanmalıdır.</w:t>
      </w:r>
    </w:p>
    <w:p>
      <w:pPr>
        <w:spacing w:after="36"/>
        <w:ind w:firstLine="288"/>
      </w:pPr>
      <w:r>
        <w:rPr>
          <w:b/>
        </w:rPr>
        <w:t xml:space="preserve">9. </w:t>
      </w:r>
      <w:r>
        <w:t>CMK m.232/6 uyarınca hüküm fıkrasında m.223'e göre verilen kararın ve uygulanan kanun maddelerinin tereddütsüz gösterilmesi gerekir. Gerekçe ile sonuç çelişmemeli; birden fazla sanık veya suç varsa hangi kararın kime ve hangi fiile ilişkin olduğu ayrı kurulmalıdır.</w:t>
      </w:r>
    </w:p>
    <w:p>
      <w:pPr>
        <w:spacing w:after="36"/>
        <w:ind w:firstLine="288"/>
      </w:pPr>
      <w:r>
        <w:rPr>
          <w:b/>
        </w:rPr>
        <w:t xml:space="preserve">10. </w:t>
      </w:r>
      <w:r>
        <w:t>Bu istem belirli bir karar, hüküm veya kanun yolu sonucu garantisi içermez. Mahkeme savunmada belirtilenden farklı bir karar türüne ulaşırsa da seçtiği sonucun özel normunu, belirleyici kayıtlarını ve temel değerlendirmesini gerekçede açıklamalıdır. Karar verilmişse uygun kanun yolu, geçiş hükmü ve süre ayrıca incelenmelidir.</w:t>
      </w:r>
    </w:p>
    <w:p>
      <w:r>
        <w:rPr>
          <w:b/>
        </w:rPr>
        <w:t xml:space="preserve">HUKUKİ NEDENLER: </w:t>
      </w:r>
      <w:r>
        <w:t>Anayasa m.36 ve 141/3; 5271 sayılı CMK m.34, 217, 223, 230/4, 232 ve somut karara uygulanabilir diğer mevzuat.</w:t>
      </w:r>
    </w:p>
    <w:p>
      <w:r>
        <w:rPr>
          <w:b/>
        </w:rPr>
        <w:t xml:space="preserve">DELİL VE EKLER: </w:t>
      </w:r>
      <w:r>
        <w:t>İddianame; duruşma tutanakları; mütalaa ve savunmalar; yalnız gerçekten mevcut önceki karar, kesinleşme, tebligat, nüfus, ölüm, kurum yazışması, uzman raporu ve UYAP evrak kayıtları.</w:t>
      </w:r>
    </w:p>
    <w:p>
      <w:r>
        <w:rPr>
          <w:b/>
        </w:rPr>
        <w:t xml:space="preserve">SONUÇ VE İSTEM: </w:t>
      </w:r>
      <w:r>
        <w:t>Açıklanan nedenlerle [karar/hüküm türü] değerlendirilirken belirtilen gerçek kayıtların tartışılmasına; bu veya farklı bir diğer karar ya da hüküm kurulursa CMK m.230/4 uyarınca özel kanuni dayanağın, belirleyici kayıtların, bunların sonuçla bağının ve esasa etkili itirazlara verilen cevabın gerekçede açıkça gösterilmesine karar verilmesini saygıyla arz ve talep ederim. 07.10.2026</w:t>
      </w:r>
    </w:p>
    <w:p>
      <w:pPr>
        <w:jc w:val="right"/>
      </w:pPr>
      <w:r>
        <w:rPr>
          <w:b/>
        </w:rPr>
        <w:t>Sanık / Müdafii</w:t>
        <w:br/>
      </w:r>
      <w:r>
        <w:t>[Ad Soyad]</w:t>
        <w:br/>
        <w:t>(E-İMZALIDIR)</w:t>
      </w:r>
    </w:p>
    <w:p>
      <w:pPr>
        <w:sectPr>
          <w:footerReference w:type="default" r:id="rId9"/>
          <w:pgSz w:w="12240" w:h="15840"/>
          <w:pgMar w:top="619" w:right="907" w:bottom="619" w:left="907" w:header="720" w:footer="720" w:gutter="0"/>
          <w:cols w:space="720"/>
          <w:docGrid w:linePitch="360"/>
        </w:sectPr>
      </w:pPr>
    </w:p>
    <w:p>
      <w:pPr>
        <w:pStyle w:val="Heading1"/>
        <w:jc w:val="center"/>
      </w:pPr>
      <w:r>
        <w:t>Karar Türü ve Gerekçe Kontrol Çizelgesi</w:t>
      </w:r>
    </w:p>
    <w:p>
      <w:r>
        <w:t>Yalnız somut dosyaya uygun satır doldurulmalı; kullanılmayan seçenekler mahkemeye sunulacak metinden çıkarılmalıdır.</w:t>
      </w:r>
    </w:p>
    <w:tbl>
      <w:tblPr>
        <w:tblStyle w:val="TableGrid"/>
        <w:tblW w:type="auto" w:w="0"/>
        <w:tblLayout w:type="fixed"/>
        <w:tblLook w:firstColumn="1" w:firstRow="1" w:lastColumn="0" w:lastRow="0" w:noHBand="0" w:noVBand="1" w:val="04A0"/>
      </w:tblPr>
      <w:tblGrid>
        <w:gridCol w:w="3475"/>
        <w:gridCol w:w="3475"/>
        <w:gridCol w:w="3475"/>
      </w:tblGrid>
      <w:tr>
        <w:trPr>
          <w:tblHeader w:val="true"/>
        </w:trPr>
        <w:tc>
          <w:tcPr>
            <w:tcW w:type="dxa" w:w="1944"/>
            <w:vAlign w:val="center"/>
            <w:tcMar>
              <w:top w:w="70" w:type="dxa"/>
              <w:start w:w="70" w:type="dxa"/>
              <w:bottom w:w="70" w:type="dxa"/>
              <w:end w:w="70" w:type="dxa"/>
            </w:tcMar>
            <w:shd w:fill="1F4E78"/>
          </w:tcPr>
          <w:p>
            <w:pPr>
              <w:jc w:val="center"/>
            </w:pPr>
            <w:r>
              <w:rPr>
                <w:b/>
                <w:color w:val="FFFFFF"/>
                <w:sz w:val="14"/>
              </w:rPr>
              <w:t>Karar / Kayıt</w:t>
            </w:r>
          </w:p>
        </w:tc>
        <w:tc>
          <w:tcPr>
            <w:tcW w:type="dxa" w:w="3960"/>
            <w:vAlign w:val="center"/>
            <w:tcMar>
              <w:top w:w="70" w:type="dxa"/>
              <w:start w:w="70" w:type="dxa"/>
              <w:bottom w:w="70" w:type="dxa"/>
              <w:end w:w="70" w:type="dxa"/>
            </w:tcMar>
            <w:shd w:fill="1F4E78"/>
          </w:tcPr>
          <w:p>
            <w:pPr>
              <w:jc w:val="center"/>
            </w:pPr>
            <w:r>
              <w:rPr>
                <w:b/>
                <w:color w:val="FFFFFF"/>
                <w:sz w:val="14"/>
              </w:rPr>
              <w:t>Kanuni Ölçüt</w:t>
            </w:r>
          </w:p>
        </w:tc>
        <w:tc>
          <w:tcPr>
            <w:tcW w:type="dxa" w:w="4104"/>
            <w:vAlign w:val="center"/>
            <w:tcMar>
              <w:top w:w="70" w:type="dxa"/>
              <w:start w:w="70" w:type="dxa"/>
              <w:bottom w:w="70" w:type="dxa"/>
              <w:end w:w="70" w:type="dxa"/>
            </w:tcMar>
            <w:shd w:fill="1F4E78"/>
          </w:tcPr>
          <w:p>
            <w:pPr>
              <w:jc w:val="center"/>
            </w:pPr>
            <w:r>
              <w:rPr>
                <w:b/>
                <w:color w:val="FFFFFF"/>
                <w:sz w:val="14"/>
              </w:rPr>
              <w:t>Dosyada Gösterilecek Dayanak</w:t>
            </w:r>
          </w:p>
        </w:tc>
      </w:tr>
      <w:tr>
        <w:tc>
          <w:tcPr>
            <w:tcW w:type="dxa" w:w="1944"/>
            <w:vAlign w:val="center"/>
            <w:tcMar>
              <w:top w:w="70" w:type="dxa"/>
              <w:start w:w="70" w:type="dxa"/>
              <w:bottom w:w="70" w:type="dxa"/>
              <w:end w:w="70" w:type="dxa"/>
            </w:tcMar>
          </w:tcPr>
          <w:p>
            <w:r>
              <w:rPr>
                <w:rFonts w:ascii="Times New Roman" w:hAnsi="Times New Roman"/>
                <w:sz w:val="14"/>
              </w:rPr>
              <w:t>Davanın reddi</w:t>
            </w:r>
          </w:p>
        </w:tc>
        <w:tc>
          <w:tcPr>
            <w:tcW w:type="dxa" w:w="3960"/>
            <w:vAlign w:val="center"/>
            <w:tcMar>
              <w:top w:w="70" w:type="dxa"/>
              <w:start w:w="70" w:type="dxa"/>
              <w:bottom w:w="70" w:type="dxa"/>
              <w:end w:w="70" w:type="dxa"/>
            </w:tcMar>
          </w:tcPr>
          <w:p>
            <w:r>
              <w:rPr>
                <w:rFonts w:ascii="Times New Roman" w:hAnsi="Times New Roman"/>
                <w:sz w:val="14"/>
              </w:rPr>
              <w:t>CMK 223/7; aynı fiil ve sanık</w:t>
            </w:r>
          </w:p>
        </w:tc>
        <w:tc>
          <w:tcPr>
            <w:tcW w:type="dxa" w:w="4104"/>
            <w:vAlign w:val="center"/>
            <w:tcMar>
              <w:top w:w="70" w:type="dxa"/>
              <w:start w:w="70" w:type="dxa"/>
              <w:bottom w:w="70" w:type="dxa"/>
              <w:end w:w="70" w:type="dxa"/>
            </w:tcMar>
          </w:tcPr>
          <w:p>
            <w:r>
              <w:rPr>
                <w:rFonts w:ascii="Times New Roman" w:hAnsi="Times New Roman"/>
                <w:sz w:val="14"/>
              </w:rPr>
              <w:t>Önceki iddianame, hüküm, kesinleşme</w:t>
            </w:r>
          </w:p>
        </w:tc>
      </w:tr>
      <w:tr>
        <w:tc>
          <w:tcPr>
            <w:tcW w:type="dxa" w:w="1944"/>
            <w:vAlign w:val="center"/>
            <w:tcMar>
              <w:top w:w="70" w:type="dxa"/>
              <w:start w:w="70" w:type="dxa"/>
              <w:bottom w:w="70" w:type="dxa"/>
              <w:end w:w="70" w:type="dxa"/>
            </w:tcMar>
            <w:shd w:fill="EAF2F8"/>
          </w:tcPr>
          <w:p>
            <w:r>
              <w:rPr>
                <w:rFonts w:ascii="Times New Roman" w:hAnsi="Times New Roman"/>
                <w:sz w:val="14"/>
              </w:rPr>
              <w:t>Düşme</w:t>
            </w:r>
          </w:p>
        </w:tc>
        <w:tc>
          <w:tcPr>
            <w:tcW w:type="dxa" w:w="3960"/>
            <w:vAlign w:val="center"/>
            <w:tcMar>
              <w:top w:w="70" w:type="dxa"/>
              <w:start w:w="70" w:type="dxa"/>
              <w:bottom w:w="70" w:type="dxa"/>
              <w:end w:w="70" w:type="dxa"/>
            </w:tcMar>
            <w:shd w:fill="EAF2F8"/>
          </w:tcPr>
          <w:p>
            <w:r>
              <w:rPr>
                <w:rFonts w:ascii="Times New Roman" w:hAnsi="Times New Roman"/>
                <w:sz w:val="14"/>
              </w:rPr>
              <w:t>CMK 223/8 ve özel sebep</w:t>
            </w:r>
          </w:p>
        </w:tc>
        <w:tc>
          <w:tcPr>
            <w:tcW w:type="dxa" w:w="4104"/>
            <w:vAlign w:val="center"/>
            <w:tcMar>
              <w:top w:w="70" w:type="dxa"/>
              <w:start w:w="70" w:type="dxa"/>
              <w:bottom w:w="70" w:type="dxa"/>
              <w:end w:w="70" w:type="dxa"/>
            </w:tcMar>
            <w:shd w:fill="EAF2F8"/>
          </w:tcPr>
          <w:p>
            <w:r>
              <w:rPr>
                <w:rFonts w:ascii="Times New Roman" w:hAnsi="Times New Roman"/>
                <w:sz w:val="14"/>
              </w:rPr>
              <w:t>Tarih, tebligat, hesap, beyan</w:t>
            </w:r>
          </w:p>
        </w:tc>
      </w:tr>
      <w:tr>
        <w:tc>
          <w:tcPr>
            <w:tcW w:type="dxa" w:w="1944"/>
            <w:vAlign w:val="center"/>
            <w:tcMar>
              <w:top w:w="70" w:type="dxa"/>
              <w:start w:w="70" w:type="dxa"/>
              <w:bottom w:w="70" w:type="dxa"/>
              <w:end w:w="70" w:type="dxa"/>
            </w:tcMar>
          </w:tcPr>
          <w:p>
            <w:r>
              <w:rPr>
                <w:rFonts w:ascii="Times New Roman" w:hAnsi="Times New Roman"/>
                <w:sz w:val="14"/>
              </w:rPr>
              <w:t>Derhâl beraat</w:t>
            </w:r>
          </w:p>
        </w:tc>
        <w:tc>
          <w:tcPr>
            <w:tcW w:type="dxa" w:w="3960"/>
            <w:vAlign w:val="center"/>
            <w:tcMar>
              <w:top w:w="70" w:type="dxa"/>
              <w:start w:w="70" w:type="dxa"/>
              <w:bottom w:w="70" w:type="dxa"/>
              <w:end w:w="70" w:type="dxa"/>
            </w:tcMar>
          </w:tcPr>
          <w:p>
            <w:r>
              <w:rPr>
                <w:rFonts w:ascii="Times New Roman" w:hAnsi="Times New Roman"/>
                <w:sz w:val="14"/>
              </w:rPr>
              <w:t>CMK 223/9 karşılaştırması</w:t>
            </w:r>
          </w:p>
        </w:tc>
        <w:tc>
          <w:tcPr>
            <w:tcW w:type="dxa" w:w="4104"/>
            <w:vAlign w:val="center"/>
            <w:tcMar>
              <w:top w:w="70" w:type="dxa"/>
              <w:start w:w="70" w:type="dxa"/>
              <w:bottom w:w="70" w:type="dxa"/>
              <w:end w:w="70" w:type="dxa"/>
            </w:tcMar>
          </w:tcPr>
          <w:p>
            <w:r>
              <w:rPr>
                <w:rFonts w:ascii="Times New Roman" w:hAnsi="Times New Roman"/>
                <w:sz w:val="14"/>
              </w:rPr>
              <w:t>Ek araştırma gerekip gerekmediği</w:t>
            </w:r>
          </w:p>
        </w:tc>
      </w:tr>
      <w:tr>
        <w:tc>
          <w:tcPr>
            <w:tcW w:type="dxa" w:w="1944"/>
            <w:vAlign w:val="center"/>
            <w:tcMar>
              <w:top w:w="70" w:type="dxa"/>
              <w:start w:w="70" w:type="dxa"/>
              <w:bottom w:w="70" w:type="dxa"/>
              <w:end w:w="70" w:type="dxa"/>
            </w:tcMar>
            <w:shd w:fill="EAF2F8"/>
          </w:tcPr>
          <w:p>
            <w:r>
              <w:rPr>
                <w:rFonts w:ascii="Times New Roman" w:hAnsi="Times New Roman"/>
                <w:sz w:val="14"/>
              </w:rPr>
              <w:t>Güvenlik tedbiri</w:t>
            </w:r>
          </w:p>
        </w:tc>
        <w:tc>
          <w:tcPr>
            <w:tcW w:type="dxa" w:w="3960"/>
            <w:vAlign w:val="center"/>
            <w:tcMar>
              <w:top w:w="70" w:type="dxa"/>
              <w:start w:w="70" w:type="dxa"/>
              <w:bottom w:w="70" w:type="dxa"/>
              <w:end w:w="70" w:type="dxa"/>
            </w:tcMar>
            <w:shd w:fill="EAF2F8"/>
          </w:tcPr>
          <w:p>
            <w:r>
              <w:rPr>
                <w:rFonts w:ascii="Times New Roman" w:hAnsi="Times New Roman"/>
                <w:sz w:val="14"/>
              </w:rPr>
              <w:t>CMK 223/6 ve özel norm</w:t>
            </w:r>
          </w:p>
        </w:tc>
        <w:tc>
          <w:tcPr>
            <w:tcW w:type="dxa" w:w="4104"/>
            <w:vAlign w:val="center"/>
            <w:tcMar>
              <w:top w:w="70" w:type="dxa"/>
              <w:start w:w="70" w:type="dxa"/>
              <w:bottom w:w="70" w:type="dxa"/>
              <w:end w:w="70" w:type="dxa"/>
            </w:tcMar>
            <w:shd w:fill="EAF2F8"/>
          </w:tcPr>
          <w:p>
            <w:r>
              <w:rPr>
                <w:rFonts w:ascii="Times New Roman" w:hAnsi="Times New Roman"/>
                <w:sz w:val="14"/>
              </w:rPr>
              <w:t>Uzman raporu, güncellik, ölçülülük</w:t>
            </w:r>
          </w:p>
        </w:tc>
      </w:tr>
      <w:tr>
        <w:tc>
          <w:tcPr>
            <w:tcW w:type="dxa" w:w="1944"/>
            <w:vAlign w:val="center"/>
            <w:tcMar>
              <w:top w:w="70" w:type="dxa"/>
              <w:start w:w="70" w:type="dxa"/>
              <w:bottom w:w="70" w:type="dxa"/>
              <w:end w:w="70" w:type="dxa"/>
            </w:tcMar>
          </w:tcPr>
          <w:p>
            <w:r>
              <w:rPr>
                <w:rFonts w:ascii="Times New Roman" w:hAnsi="Times New Roman"/>
                <w:sz w:val="14"/>
              </w:rPr>
              <w:t>Durma</w:t>
            </w:r>
          </w:p>
        </w:tc>
        <w:tc>
          <w:tcPr>
            <w:tcW w:type="dxa" w:w="3960"/>
            <w:vAlign w:val="center"/>
            <w:tcMar>
              <w:top w:w="70" w:type="dxa"/>
              <w:start w:w="70" w:type="dxa"/>
              <w:bottom w:w="70" w:type="dxa"/>
              <w:end w:w="70" w:type="dxa"/>
            </w:tcMar>
          </w:tcPr>
          <w:p>
            <w:r>
              <w:rPr>
                <w:rFonts w:ascii="Times New Roman" w:hAnsi="Times New Roman"/>
                <w:sz w:val="14"/>
              </w:rPr>
              <w:t>CMK 223/8; gerçekleşebilir şart</w:t>
            </w:r>
          </w:p>
        </w:tc>
        <w:tc>
          <w:tcPr>
            <w:tcW w:type="dxa" w:w="4104"/>
            <w:vAlign w:val="center"/>
            <w:tcMar>
              <w:top w:w="70" w:type="dxa"/>
              <w:start w:w="70" w:type="dxa"/>
              <w:bottom w:w="70" w:type="dxa"/>
              <w:end w:w="70" w:type="dxa"/>
            </w:tcMar>
          </w:tcPr>
          <w:p>
            <w:r>
              <w:rPr>
                <w:rFonts w:ascii="Times New Roman" w:hAnsi="Times New Roman"/>
                <w:sz w:val="14"/>
              </w:rPr>
              <w:t>Özel hüküm, merci, derdest işlem</w:t>
            </w:r>
          </w:p>
        </w:tc>
      </w:tr>
      <w:tr>
        <w:tc>
          <w:tcPr>
            <w:tcW w:type="dxa" w:w="1944"/>
            <w:vAlign w:val="center"/>
            <w:tcMar>
              <w:top w:w="70" w:type="dxa"/>
              <w:start w:w="70" w:type="dxa"/>
              <w:bottom w:w="70" w:type="dxa"/>
              <w:end w:w="70" w:type="dxa"/>
            </w:tcMar>
            <w:shd w:fill="EAF2F8"/>
          </w:tcPr>
          <w:p>
            <w:r>
              <w:rPr>
                <w:rFonts w:ascii="Times New Roman" w:hAnsi="Times New Roman"/>
                <w:sz w:val="14"/>
              </w:rPr>
              <w:t>Görev/yetki</w:t>
            </w:r>
          </w:p>
        </w:tc>
        <w:tc>
          <w:tcPr>
            <w:tcW w:type="dxa" w:w="3960"/>
            <w:vAlign w:val="center"/>
            <w:tcMar>
              <w:top w:w="70" w:type="dxa"/>
              <w:start w:w="70" w:type="dxa"/>
              <w:bottom w:w="70" w:type="dxa"/>
              <w:end w:w="70" w:type="dxa"/>
            </w:tcMar>
            <w:shd w:fill="EAF2F8"/>
          </w:tcPr>
          <w:p>
            <w:r>
              <w:rPr>
                <w:rFonts w:ascii="Times New Roman" w:hAnsi="Times New Roman"/>
                <w:sz w:val="14"/>
              </w:rPr>
              <w:t>İlgili görev veya yetki normu</w:t>
            </w:r>
          </w:p>
        </w:tc>
        <w:tc>
          <w:tcPr>
            <w:tcW w:type="dxa" w:w="4104"/>
            <w:vAlign w:val="center"/>
            <w:tcMar>
              <w:top w:w="70" w:type="dxa"/>
              <w:start w:w="70" w:type="dxa"/>
              <w:bottom w:w="70" w:type="dxa"/>
              <w:end w:w="70" w:type="dxa"/>
            </w:tcMar>
            <w:shd w:fill="EAF2F8"/>
          </w:tcPr>
          <w:p>
            <w:r>
              <w:rPr>
                <w:rFonts w:ascii="Times New Roman" w:hAnsi="Times New Roman"/>
                <w:sz w:val="14"/>
              </w:rPr>
              <w:t>İsnadın belirleyici unsuru</w:t>
            </w:r>
          </w:p>
        </w:tc>
      </w:tr>
      <w:tr>
        <w:tc>
          <w:tcPr>
            <w:tcW w:type="dxa" w:w="1944"/>
            <w:vAlign w:val="center"/>
            <w:tcMar>
              <w:top w:w="70" w:type="dxa"/>
              <w:start w:w="70" w:type="dxa"/>
              <w:bottom w:w="70" w:type="dxa"/>
              <w:end w:w="70" w:type="dxa"/>
            </w:tcMar>
          </w:tcPr>
          <w:p>
            <w:r>
              <w:rPr>
                <w:rFonts w:ascii="Times New Roman" w:hAnsi="Times New Roman"/>
                <w:sz w:val="14"/>
              </w:rPr>
              <w:t>Birleştirme/ayırma</w:t>
            </w:r>
          </w:p>
        </w:tc>
        <w:tc>
          <w:tcPr>
            <w:tcW w:type="dxa" w:w="3960"/>
            <w:vAlign w:val="center"/>
            <w:tcMar>
              <w:top w:w="70" w:type="dxa"/>
              <w:start w:w="70" w:type="dxa"/>
              <w:bottom w:w="70" w:type="dxa"/>
              <w:end w:w="70" w:type="dxa"/>
            </w:tcMar>
          </w:tcPr>
          <w:p>
            <w:r>
              <w:rPr>
                <w:rFonts w:ascii="Times New Roman" w:hAnsi="Times New Roman"/>
                <w:sz w:val="14"/>
              </w:rPr>
              <w:t>Bağlantı ve yargılama düzeni</w:t>
            </w:r>
          </w:p>
        </w:tc>
        <w:tc>
          <w:tcPr>
            <w:tcW w:type="dxa" w:w="4104"/>
            <w:vAlign w:val="center"/>
            <w:tcMar>
              <w:top w:w="70" w:type="dxa"/>
              <w:start w:w="70" w:type="dxa"/>
              <w:bottom w:w="70" w:type="dxa"/>
              <w:end w:w="70" w:type="dxa"/>
            </w:tcMar>
          </w:tcPr>
          <w:p>
            <w:r>
              <w:rPr>
                <w:rFonts w:ascii="Times New Roman" w:hAnsi="Times New Roman"/>
                <w:sz w:val="14"/>
              </w:rPr>
              <w:t>Dosyalar, taraflar, somut etki</w:t>
            </w:r>
          </w:p>
        </w:tc>
      </w:tr>
      <w:tr>
        <w:tc>
          <w:tcPr>
            <w:tcW w:type="dxa" w:w="1944"/>
            <w:vAlign w:val="center"/>
            <w:tcMar>
              <w:top w:w="70" w:type="dxa"/>
              <w:start w:w="70" w:type="dxa"/>
              <w:bottom w:w="70" w:type="dxa"/>
              <w:end w:w="70" w:type="dxa"/>
            </w:tcMar>
            <w:shd w:fill="EAF2F8"/>
          </w:tcPr>
          <w:p>
            <w:r>
              <w:rPr>
                <w:rFonts w:ascii="Times New Roman" w:hAnsi="Times New Roman"/>
                <w:sz w:val="14"/>
              </w:rPr>
              <w:t>Delil talebi reddi</w:t>
            </w:r>
          </w:p>
        </w:tc>
        <w:tc>
          <w:tcPr>
            <w:tcW w:type="dxa" w:w="3960"/>
            <w:vAlign w:val="center"/>
            <w:tcMar>
              <w:top w:w="70" w:type="dxa"/>
              <w:start w:w="70" w:type="dxa"/>
              <w:bottom w:w="70" w:type="dxa"/>
              <w:end w:w="70" w:type="dxa"/>
            </w:tcMar>
            <w:shd w:fill="EAF2F8"/>
          </w:tcPr>
          <w:p>
            <w:r>
              <w:rPr>
                <w:rFonts w:ascii="Times New Roman" w:hAnsi="Times New Roman"/>
                <w:sz w:val="14"/>
              </w:rPr>
              <w:t>İlgililik ve gereklilik</w:t>
            </w:r>
          </w:p>
        </w:tc>
        <w:tc>
          <w:tcPr>
            <w:tcW w:type="dxa" w:w="4104"/>
            <w:vAlign w:val="center"/>
            <w:tcMar>
              <w:top w:w="70" w:type="dxa"/>
              <w:start w:w="70" w:type="dxa"/>
              <w:bottom w:w="70" w:type="dxa"/>
              <w:end w:w="70" w:type="dxa"/>
            </w:tcMar>
            <w:shd w:fill="EAF2F8"/>
          </w:tcPr>
          <w:p>
            <w:r>
              <w:rPr>
                <w:rFonts w:ascii="Times New Roman" w:hAnsi="Times New Roman"/>
                <w:sz w:val="14"/>
              </w:rPr>
              <w:t>Talep, ispat konusu, ret nedeni</w:t>
            </w:r>
          </w:p>
        </w:tc>
      </w:tr>
      <w:tr>
        <w:tc>
          <w:tcPr>
            <w:tcW w:type="dxa" w:w="1944"/>
            <w:vAlign w:val="center"/>
            <w:tcMar>
              <w:top w:w="70" w:type="dxa"/>
              <w:start w:w="70" w:type="dxa"/>
              <w:bottom w:w="70" w:type="dxa"/>
              <w:end w:w="70" w:type="dxa"/>
            </w:tcMar>
          </w:tcPr>
          <w:p>
            <w:r>
              <w:rPr>
                <w:rFonts w:ascii="Times New Roman" w:hAnsi="Times New Roman"/>
                <w:sz w:val="14"/>
              </w:rPr>
              <w:t>Hüküm fıkrası</w:t>
            </w:r>
          </w:p>
        </w:tc>
        <w:tc>
          <w:tcPr>
            <w:tcW w:type="dxa" w:w="3960"/>
            <w:vAlign w:val="center"/>
            <w:tcMar>
              <w:top w:w="70" w:type="dxa"/>
              <w:start w:w="70" w:type="dxa"/>
              <w:bottom w:w="70" w:type="dxa"/>
              <w:end w:w="70" w:type="dxa"/>
            </w:tcMar>
          </w:tcPr>
          <w:p>
            <w:r>
              <w:rPr>
                <w:rFonts w:ascii="Times New Roman" w:hAnsi="Times New Roman"/>
                <w:sz w:val="14"/>
              </w:rPr>
              <w:t>CMK 232/6</w:t>
            </w:r>
          </w:p>
        </w:tc>
        <w:tc>
          <w:tcPr>
            <w:tcW w:type="dxa" w:w="4104"/>
            <w:vAlign w:val="center"/>
            <w:tcMar>
              <w:top w:w="70" w:type="dxa"/>
              <w:start w:w="70" w:type="dxa"/>
              <w:bottom w:w="70" w:type="dxa"/>
              <w:end w:w="70" w:type="dxa"/>
            </w:tcMar>
          </w:tcPr>
          <w:p>
            <w:r>
              <w:rPr>
                <w:rFonts w:ascii="Times New Roman" w:hAnsi="Times New Roman"/>
                <w:sz w:val="14"/>
              </w:rPr>
              <w:t>Karar, madde, kanun yolu</w:t>
            </w:r>
          </w:p>
        </w:tc>
      </w:tr>
      <w:tr>
        <w:tc>
          <w:tcPr>
            <w:tcW w:type="dxa" w:w="1944"/>
            <w:vAlign w:val="center"/>
            <w:tcMar>
              <w:top w:w="70" w:type="dxa"/>
              <w:start w:w="70" w:type="dxa"/>
              <w:bottom w:w="70" w:type="dxa"/>
              <w:end w:w="70" w:type="dxa"/>
            </w:tcMar>
            <w:shd w:fill="EAF2F8"/>
          </w:tcPr>
          <w:p>
            <w:r>
              <w:rPr>
                <w:rFonts w:ascii="Times New Roman" w:hAnsi="Times New Roman"/>
                <w:sz w:val="14"/>
              </w:rPr>
              <w:t>Gerekçe</w:t>
            </w:r>
          </w:p>
        </w:tc>
        <w:tc>
          <w:tcPr>
            <w:tcW w:type="dxa" w:w="3960"/>
            <w:vAlign w:val="center"/>
            <w:tcMar>
              <w:top w:w="70" w:type="dxa"/>
              <w:start w:w="70" w:type="dxa"/>
              <w:bottom w:w="70" w:type="dxa"/>
              <w:end w:w="70" w:type="dxa"/>
            </w:tcMar>
            <w:shd w:fill="EAF2F8"/>
          </w:tcPr>
          <w:p>
            <w:r>
              <w:rPr>
                <w:rFonts w:ascii="Times New Roman" w:hAnsi="Times New Roman"/>
                <w:sz w:val="14"/>
              </w:rPr>
              <w:t>CMK 34 ve 230/4</w:t>
            </w:r>
          </w:p>
        </w:tc>
        <w:tc>
          <w:tcPr>
            <w:tcW w:type="dxa" w:w="4104"/>
            <w:vAlign w:val="center"/>
            <w:tcMar>
              <w:top w:w="70" w:type="dxa"/>
              <w:start w:w="70" w:type="dxa"/>
              <w:bottom w:w="70" w:type="dxa"/>
              <w:end w:w="70" w:type="dxa"/>
            </w:tcMar>
            <w:shd w:fill="EAF2F8"/>
          </w:tcPr>
          <w:p>
            <w:r>
              <w:rPr>
                <w:rFonts w:ascii="Times New Roman" w:hAnsi="Times New Roman"/>
                <w:sz w:val="14"/>
              </w:rPr>
              <w:t>Norm + kayıt + sonuç bağı</w:t>
            </w:r>
          </w:p>
        </w:tc>
      </w:tr>
    </w:tbl>
    <w:p>
      <w:pPr>
        <w:pStyle w:val="Heading1"/>
      </w:pPr>
      <w:r>
        <w:t>Başvuru Öncesi Son Kontrol</w:t>
      </w:r>
    </w:p>
    <w:p>
      <w:pPr>
        <w:pStyle w:val="ListBullet"/>
      </w:pPr>
      <w:r>
        <w:t>Karar türünü ve bu sonucu doğuran özel normu açıkça yazın; CMK 230/4'ü tek başına sonuç normu gibi göstermeyin.</w:t>
      </w:r>
    </w:p>
    <w:p>
      <w:pPr>
        <w:pStyle w:val="ListBullet"/>
      </w:pPr>
      <w:r>
        <w:t>Her kaydın tarihini, sayısını, düzenleyenini ve UYAP sırasını belirtin; mevcut olmayan kayıt üretmeyin.</w:t>
      </w:r>
    </w:p>
    <w:p>
      <w:pPr>
        <w:pStyle w:val="ListBullet"/>
      </w:pPr>
      <w:r>
        <w:t>Davanın reddinde fiil ve sanık aynılığını; düşmede sebep, tarih ve hesabı somutlaştırın.</w:t>
      </w:r>
    </w:p>
    <w:p>
      <w:pPr>
        <w:pStyle w:val="ListBullet"/>
      </w:pPr>
      <w:r>
        <w:t>Güvenlik tedbirinde uzman raporu, güncellik ve ölçülülük değerlendirmesini ayırın.</w:t>
      </w:r>
    </w:p>
    <w:p>
      <w:pPr>
        <w:pStyle w:val="ListBullet"/>
      </w:pPr>
      <w:r>
        <w:t>Gerekçe ile hüküm fıkrasının uyumunu ve kanun yolu bildiriminin açıklığını kontrol edin.</w:t>
      </w:r>
    </w:p>
    <w:p>
      <w:pPr>
        <w:pStyle w:val="ListBullet"/>
      </w:pPr>
      <w:r>
        <w:t>Karar verilmişse bu dilekçenin süreyi durdurmadığını gözeterek güncel kanun yolu ve geçiş hükmünü ayrıca inceleyin.</w:t>
      </w:r>
    </w:p>
    <w:sectPr w:rsidR="00FC693F" w:rsidRPr="0006063C" w:rsidSect="00034616">
      <w:pgSz w:w="12240" w:h="15840"/>
      <w:pgMar w:top="619" w:right="907" w:bottom="619"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yalnız gerçek dosya kayıtları ve güncel mevzuata göre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30" w:lineRule="auto"/>
    </w:pPr>
    <w:rPr>
      <w:rFonts w:ascii="Times New Roman" w:hAnsi="Times New Roman" w:eastAsia="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1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230 4 Diğer Karar ve Hükümlerde Gerekçe Gösterilmesi Dilekçesi</dc:title>
  <dc:subject>Mahkûmiyet, beraat ve ceza verilmesine yer olmadığı dışındaki kararların gerekçesi</dc:subject>
  <dc:creator>Av. Halil Bakırcı</dc:creator>
  <cp:keywords>CMK 230/4, gerekçeli karar, davanın reddi, düşme, güvenlik tedbiri</cp:keywords>
  <dc:description>generated by python-docx</dc:description>
  <cp:lastModifiedBy/>
  <cp:revision>1</cp:revision>
  <dcterms:created xsi:type="dcterms:W3CDTF">2013-12-23T23:15:00Z</dcterms:created>
  <dcterms:modified xsi:type="dcterms:W3CDTF">2013-12-23T23:15:00Z</dcterms:modified>
  <cp:category/>
</cp:coreProperties>
</file>