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CMK 232 6 Hüküm Fıkrası ve Kanun Yolu Bildirimi Talebi</w:t>
      </w:r>
    </w:p>
    <w:p>
      <w:pPr>
        <w:jc w:val="center"/>
      </w:pPr>
      <w:r>
        <w:rPr>
          <w:b/>
          <w:sz w:val="20"/>
        </w:rPr>
        <w:t>[YARGILAMAYI YÜRÜTEN CEZA MAHKEMESİNE]</w:t>
      </w:r>
    </w:p>
    <w:p>
      <w:pPr>
        <w:spacing w:after="24"/>
      </w:pPr>
      <w:r>
        <w:rPr>
          <w:b/>
        </w:rPr>
        <w:t xml:space="preserve">ESAS NO: </w:t>
      </w:r>
      <w:r>
        <w:t>[Gerçek esas numarası]</w:t>
      </w:r>
    </w:p>
    <w:p>
      <w:pPr>
        <w:spacing w:after="24"/>
      </w:pPr>
      <w:r>
        <w:rPr>
          <w:b/>
        </w:rPr>
        <w:t xml:space="preserve">SANIK: </w:t>
      </w:r>
      <w:r>
        <w:t>[Ad soyad ve gerçek kimlik bilgileri]</w:t>
      </w:r>
    </w:p>
    <w:p>
      <w:pPr>
        <w:spacing w:after="24"/>
      </w:pPr>
      <w:r>
        <w:rPr>
          <w:b/>
        </w:rPr>
        <w:t xml:space="preserve">MÜDAFİİ: </w:t>
      </w:r>
      <w:r>
        <w:t>[Varsa ad soyad, baro-sicil ve adres]</w:t>
      </w:r>
    </w:p>
    <w:p>
      <w:r>
        <w:rPr>
          <w:b/>
        </w:rPr>
        <w:t xml:space="preserve">KONU: </w:t>
      </w:r>
      <w:r>
        <w:t>Kurulacak hükmün sonuç bölümünde karar türü, uygulanan kanun maddeleri, ceza ve güvenlik tedbirleri ile kanun yolu ve tazminat bilgilerinin CMK m.34, 231 ve 232/6 uyarınca tereddütsüz gösterilmesi talebidir.</w:t>
      </w:r>
    </w:p>
    <w:p>
      <w:pPr>
        <w:pStyle w:val="Heading1"/>
      </w:pPr>
      <w:r>
        <w:t>AÇIKLAMALAR</w:t>
      </w:r>
    </w:p>
    <w:p>
      <w:pPr>
        <w:spacing w:after="36"/>
        <w:ind w:firstLine="288"/>
      </w:pPr>
      <w:r>
        <w:rPr>
          <w:b/>
        </w:rPr>
        <w:t xml:space="preserve">1. </w:t>
      </w:r>
      <w:r>
        <w:t>Mahkemenizin [esas no] sayılı dosyasında [iddianame tarih ve sayısı] tarihli iddianameyle [sanık] hakkında [gerçek fiil ve suç] nedeniyle kamu davası açılmıştır. Hüküm kurulacak sanık, suç ve fiil [ayrıntılı tekilleştirme]dir. Dosyada bulunmayan bir yaptırım, süre veya karar varsayılmamaktadır.</w:t>
      </w:r>
    </w:p>
    <w:p>
      <w:pPr>
        <w:spacing w:after="36"/>
        <w:ind w:firstLine="288"/>
      </w:pPr>
      <w:r>
        <w:rPr>
          <w:b/>
        </w:rPr>
        <w:t xml:space="preserve">2. </w:t>
      </w:r>
      <w:r>
        <w:t>Esas hakkındaki mütalaada [talep edilen karar ve maddeler], savunmada ise [uygulanması veya uygulanmaması istenen hükümler] ileri sürülmüştür. Bu dilekçe belirli bir sonucun kabul edildiği anlamına gelmez; mahkemenin seçtiği sonucun açık ve denetlenebilir yazılmasını amaçlar.</w:t>
      </w:r>
    </w:p>
    <w:p>
      <w:pPr>
        <w:spacing w:after="36"/>
        <w:ind w:firstLine="288"/>
      </w:pPr>
      <w:r>
        <w:rPr>
          <w:b/>
        </w:rPr>
        <w:t xml:space="preserve">3. </w:t>
      </w:r>
      <w:r>
        <w:t>Her sanık ve her suç yönünden CMK m.223'e göre karar türünün ayrı gösterilmesini; beraat veya ceza verilmesine yer olmadığı hâlinde ilgili fıkra ve bendin, düşme veya ret hâlinde sonucu doğuran özel normun yazılmasını talep ediyoruz.</w:t>
      </w:r>
    </w:p>
    <w:p>
      <w:pPr>
        <w:spacing w:after="36"/>
        <w:ind w:firstLine="288"/>
      </w:pPr>
      <w:r>
        <w:rPr>
          <w:b/>
        </w:rPr>
        <w:t xml:space="preserve">4. </w:t>
      </w:r>
      <w:r>
        <w:t>Mahkûmiyet kurulursa suçun temel ve nitelikli hâli, teşebbüs, iştirak, artırım ve indirim hükümleri uygulama sırasıyla; cezanın türü, birimi ve sonuç miktarı açıkça gösterilmelidir. Adli para cezasında gün sayısı, bir gün karşılığı miktar ve toplam tutar birbirinden ayrılmalıdır.</w:t>
      </w:r>
    </w:p>
    <w:p>
      <w:pPr>
        <w:spacing w:after="36"/>
        <w:ind w:firstLine="288"/>
      </w:pPr>
      <w:r>
        <w:rPr>
          <w:b/>
        </w:rPr>
        <w:t xml:space="preserve">5. </w:t>
      </w:r>
      <w:r>
        <w:t>Seçenek yaptırım, erteleme, güvenlik tedbiri, müsadere, hak yoksunluğu, mahsup, tutukluluğun devamı, tahliye, adli kontrol, yargılama gideri veya vekâlet ücreti hakkında karar kurulacaksa kişi, eşya, süre ve miktar bakımından ayrı ve uygulanabilir sonuç yazılmalıdır.</w:t>
      </w:r>
    </w:p>
    <w:p>
      <w:pPr>
        <w:spacing w:after="36"/>
        <w:ind w:firstLine="288"/>
      </w:pPr>
      <w:r>
        <w:rPr>
          <w:b/>
        </w:rPr>
        <w:t xml:space="preserve">6. </w:t>
      </w:r>
      <w:r>
        <w:t>Kanun yolu bildiriminde somut hükme uygulanacak yolun adı, başvuru hakkı, güncel süre ve başlangıcı, başvurunun yapılacağı merci ile şekil CMK m.34/2 ve m.232/6'ya uygun gösterilmelidir. Eski süre metni veya başka karar türüne ait standart bildirim kullanılmamalıdır.</w:t>
      </w:r>
    </w:p>
    <w:p>
      <w:pPr>
        <w:spacing w:after="36"/>
        <w:ind w:firstLine="288"/>
      </w:pPr>
      <w:r>
        <w:rPr>
          <w:b/>
        </w:rPr>
        <w:t xml:space="preserve">7. </w:t>
      </w:r>
      <w:r>
        <w:t>Tazminat isteme olanağının bulunup bulunmadığı somut hüküm ve koruma tedbiri kayıtlarına göre belirtilmelidir. Tazminat ihtimali otomatik kabul, ret veya ödeme sonucu gibi yazılmamalıdır.</w:t>
      </w:r>
    </w:p>
    <w:p>
      <w:pPr>
        <w:spacing w:after="36"/>
        <w:ind w:firstLine="288"/>
      </w:pPr>
      <w:r>
        <w:rPr>
          <w:b/>
        </w:rPr>
        <w:t xml:space="preserve">8. </w:t>
      </w:r>
      <w:r>
        <w:t>Kısa karar ile gerekçeli kararın hüküm fıkrası çelişmemeli; sonuç bölümü gerekçedeki hukuki değerlendirmeyle uyumlu olmalıdır. Birden fazla sanık veya suç, kime ve hangi fiile ilişkin olduğu anlaşılamayacak toplu bir cümlede birleştirilmemelidir.</w:t>
      </w:r>
    </w:p>
    <w:p>
      <w:pPr>
        <w:spacing w:after="36"/>
        <w:ind w:firstLine="288"/>
      </w:pPr>
      <w:r>
        <w:rPr>
          <w:b/>
        </w:rPr>
        <w:t xml:space="preserve">9. </w:t>
      </w:r>
      <w:r>
        <w:t>Sanığın gerçek gözaltı ve tutukluluk süreleri [tarihler] olup mahsup değerlendirmesinde yalnız bu kayıtlar esas alınmalıdır. Müsadere veya iade konusu eşya [ayırt edici bilgiler]dir. Mevcut olmayan infaz tarihi veya eşya bilgisi üretilmemelidir.</w:t>
      </w:r>
    </w:p>
    <w:p>
      <w:pPr>
        <w:spacing w:after="36"/>
        <w:ind w:firstLine="288"/>
      </w:pPr>
      <w:r>
        <w:rPr>
          <w:b/>
        </w:rPr>
        <w:t xml:space="preserve">10. </w:t>
      </w:r>
      <w:r>
        <w:t>Sonuç olarak CMK m.232/6'nın zorunlu unsurlarının her sanık ve her suç yönünden hüküm fıkrasında tereddütsüz gösterilmesini talep ediyoruz. Karar verilmişse bu dilekçenin kanun yolu süresini durdurmadığı gözetilerek güncel başvuru ve geçiş hükümleri ayrıca incelenmelidir.</w:t>
      </w:r>
    </w:p>
    <w:p>
      <w:r>
        <w:rPr>
          <w:b/>
        </w:rPr>
        <w:t xml:space="preserve">HUKUKİ NEDENLER: </w:t>
      </w:r>
      <w:r>
        <w:t>Anayasa m.36 ve 141/3; 5271 sayılı CMK m.34, 223, 230, 231, 232 ve somut hükme uygulanabilir diğer mevzuat.</w:t>
      </w:r>
    </w:p>
    <w:p>
      <w:r>
        <w:rPr>
          <w:b/>
        </w:rPr>
        <w:t xml:space="preserve">DELİL VE EKLER: </w:t>
      </w:r>
      <w:r>
        <w:t>İddianame; kabul kararı; mütalaa; savunmalar; duruşma tutanakları; yalnız gerçek ceza, süre ve koruma tedbiri kayıtları; eşya listeleri ve UYAP evrakları.</w:t>
      </w:r>
    </w:p>
    <w:p>
      <w:r>
        <w:rPr>
          <w:b/>
        </w:rPr>
        <w:t xml:space="preserve">SONUÇ VE İSTEM: </w:t>
      </w:r>
      <w:r>
        <w:t>Açıklanan nedenlerle kurulacak hükümde her sanık ve suç yönünden karar türünün; uygulanan kanun maddeleri ve sonuç cezanın; güvenlik tedbiri, mahsup ve diğer ferî sonuçların; kanun yolu ile tazminat isteme olanağının, başvuru mümkünse güncel süre ve merciin CMK m.232/6 uyarınca tereddüde yer vermeyecek açıklıkta gösterilmesine karar verilmesini saygıyla arz ve talep ederim. 07.10.2026</w:t>
      </w:r>
    </w:p>
    <w:p>
      <w:pPr>
        <w:jc w:val="right"/>
      </w:pPr>
      <w:r>
        <w:rPr>
          <w:b/>
        </w:rPr>
        <w:t>Sanık / Müdafii</w:t>
        <w:br/>
      </w:r>
      <w:r>
        <w:t>[Ad Soyad]</w:t>
        <w:br/>
        <w:t>(E-İMZALIDIR)</w:t>
      </w:r>
    </w:p>
    <w:p>
      <w:pPr>
        <w:sectPr>
          <w:footerReference w:type="default" r:id="rId9"/>
          <w:pgSz w:w="12240" w:h="15840"/>
          <w:pgMar w:top="619" w:right="907" w:bottom="619" w:left="907" w:header="720" w:footer="720" w:gutter="0"/>
          <w:cols w:space="720"/>
          <w:docGrid w:linePitch="360"/>
        </w:sectPr>
      </w:pPr>
    </w:p>
    <w:p>
      <w:pPr>
        <w:pStyle w:val="Heading1"/>
        <w:jc w:val="center"/>
      </w:pPr>
      <w:r>
        <w:t>Hüküm Fıkrası Kontrol Çizelgesi</w:t>
      </w:r>
    </w:p>
    <w:p>
      <w:r>
        <w:t>Yalnız somut dosyaya uygun satırlar doldurulmalı; kullanılmayan seçenekler mahkemeye sunulacak metinden çıkarılmalıdır.</w:t>
      </w:r>
    </w:p>
    <w:tbl>
      <w:tblPr>
        <w:tblStyle w:val="TableGrid"/>
        <w:tblW w:type="auto" w:w="0"/>
        <w:tblLayout w:type="fixed"/>
        <w:tblLook w:firstColumn="1" w:firstRow="1" w:lastColumn="0" w:lastRow="0" w:noHBand="0" w:noVBand="1" w:val="04A0"/>
      </w:tblPr>
      <w:tblGrid>
        <w:gridCol w:w="3475"/>
        <w:gridCol w:w="3475"/>
        <w:gridCol w:w="3475"/>
      </w:tblGrid>
      <w:tr>
        <w:trPr>
          <w:tblHeader w:val="true"/>
        </w:trPr>
        <w:tc>
          <w:tcPr>
            <w:tcW w:type="dxa" w:w="2088"/>
            <w:vAlign w:val="center"/>
            <w:tcMar>
              <w:top w:w="70" w:type="dxa"/>
              <w:start w:w="70" w:type="dxa"/>
              <w:bottom w:w="70" w:type="dxa"/>
              <w:end w:w="70" w:type="dxa"/>
            </w:tcMar>
            <w:shd w:fill="1F4E78"/>
          </w:tcPr>
          <w:p>
            <w:pPr>
              <w:jc w:val="center"/>
            </w:pPr>
            <w:r>
              <w:rPr>
                <w:b/>
                <w:color w:val="FFFFFF"/>
                <w:sz w:val="14"/>
              </w:rPr>
              <w:t>Kontrol Alanı</w:t>
            </w:r>
          </w:p>
        </w:tc>
        <w:tc>
          <w:tcPr>
            <w:tcW w:type="dxa" w:w="3888"/>
            <w:vAlign w:val="center"/>
            <w:tcMar>
              <w:top w:w="70" w:type="dxa"/>
              <w:start w:w="70" w:type="dxa"/>
              <w:bottom w:w="70" w:type="dxa"/>
              <w:end w:w="70" w:type="dxa"/>
            </w:tcMar>
            <w:shd w:fill="1F4E78"/>
          </w:tcPr>
          <w:p>
            <w:pPr>
              <w:jc w:val="center"/>
            </w:pPr>
            <w:r>
              <w:rPr>
                <w:b/>
                <w:color w:val="FFFFFF"/>
                <w:sz w:val="14"/>
              </w:rPr>
              <w:t>Kanuni Ölçüt</w:t>
            </w:r>
          </w:p>
        </w:tc>
        <w:tc>
          <w:tcPr>
            <w:tcW w:type="dxa" w:w="4032"/>
            <w:vAlign w:val="center"/>
            <w:tcMar>
              <w:top w:w="70" w:type="dxa"/>
              <w:start w:w="70" w:type="dxa"/>
              <w:bottom w:w="70" w:type="dxa"/>
              <w:end w:w="70" w:type="dxa"/>
            </w:tcMar>
            <w:shd w:fill="1F4E78"/>
          </w:tcPr>
          <w:p>
            <w:pPr>
              <w:jc w:val="center"/>
            </w:pPr>
            <w:r>
              <w:rPr>
                <w:b/>
                <w:color w:val="FFFFFF"/>
                <w:sz w:val="14"/>
              </w:rPr>
              <w:t>Hükümde Gösterilecek Bilgi</w:t>
            </w:r>
          </w:p>
        </w:tc>
      </w:tr>
      <w:tr>
        <w:tc>
          <w:tcPr>
            <w:tcW w:type="dxa" w:w="2088"/>
            <w:vAlign w:val="center"/>
            <w:tcMar>
              <w:top w:w="70" w:type="dxa"/>
              <w:start w:w="70" w:type="dxa"/>
              <w:bottom w:w="70" w:type="dxa"/>
              <w:end w:w="70" w:type="dxa"/>
            </w:tcMar>
          </w:tcPr>
          <w:p>
            <w:r>
              <w:rPr>
                <w:rFonts w:ascii="Times New Roman" w:hAnsi="Times New Roman"/>
                <w:sz w:val="14"/>
              </w:rPr>
              <w:t>Sanık ve suç</w:t>
            </w:r>
          </w:p>
        </w:tc>
        <w:tc>
          <w:tcPr>
            <w:tcW w:type="dxa" w:w="3888"/>
            <w:vAlign w:val="center"/>
            <w:tcMar>
              <w:top w:w="70" w:type="dxa"/>
              <w:start w:w="70" w:type="dxa"/>
              <w:bottom w:w="70" w:type="dxa"/>
              <w:end w:w="70" w:type="dxa"/>
            </w:tcMar>
          </w:tcPr>
          <w:p>
            <w:r>
              <w:rPr>
                <w:rFonts w:ascii="Times New Roman" w:hAnsi="Times New Roman"/>
                <w:sz w:val="14"/>
              </w:rPr>
              <w:t>Ad, fiil, suç ve mağdur</w:t>
            </w:r>
          </w:p>
        </w:tc>
        <w:tc>
          <w:tcPr>
            <w:tcW w:type="dxa" w:w="4032"/>
            <w:vAlign w:val="center"/>
            <w:tcMar>
              <w:top w:w="70" w:type="dxa"/>
              <w:start w:w="70" w:type="dxa"/>
              <w:bottom w:w="70" w:type="dxa"/>
              <w:end w:w="70" w:type="dxa"/>
            </w:tcMar>
          </w:tcPr>
          <w:p>
            <w:r>
              <w:rPr>
                <w:rFonts w:ascii="Times New Roman" w:hAnsi="Times New Roman"/>
                <w:sz w:val="14"/>
              </w:rPr>
              <w:t>Her isnat için ayrı sonuç</w:t>
            </w:r>
          </w:p>
        </w:tc>
      </w:tr>
      <w:tr>
        <w:tc>
          <w:tcPr>
            <w:tcW w:type="dxa" w:w="2088"/>
            <w:vAlign w:val="center"/>
            <w:tcMar>
              <w:top w:w="70" w:type="dxa"/>
              <w:start w:w="70" w:type="dxa"/>
              <w:bottom w:w="70" w:type="dxa"/>
              <w:end w:w="70" w:type="dxa"/>
            </w:tcMar>
            <w:shd w:fill="EAF2F8"/>
          </w:tcPr>
          <w:p>
            <w:r>
              <w:rPr>
                <w:rFonts w:ascii="Times New Roman" w:hAnsi="Times New Roman"/>
                <w:sz w:val="14"/>
              </w:rPr>
              <w:t>Karar türü</w:t>
            </w:r>
          </w:p>
        </w:tc>
        <w:tc>
          <w:tcPr>
            <w:tcW w:type="dxa" w:w="3888"/>
            <w:vAlign w:val="center"/>
            <w:tcMar>
              <w:top w:w="70" w:type="dxa"/>
              <w:start w:w="70" w:type="dxa"/>
              <w:bottom w:w="70" w:type="dxa"/>
              <w:end w:w="70" w:type="dxa"/>
            </w:tcMar>
            <w:shd w:fill="EAF2F8"/>
          </w:tcPr>
          <w:p>
            <w:r>
              <w:rPr>
                <w:rFonts w:ascii="Times New Roman" w:hAnsi="Times New Roman"/>
                <w:sz w:val="14"/>
              </w:rPr>
              <w:t>CMK 223 fıkra ve bent</w:t>
            </w:r>
          </w:p>
        </w:tc>
        <w:tc>
          <w:tcPr>
            <w:tcW w:type="dxa" w:w="4032"/>
            <w:vAlign w:val="center"/>
            <w:tcMar>
              <w:top w:w="70" w:type="dxa"/>
              <w:start w:w="70" w:type="dxa"/>
              <w:bottom w:w="70" w:type="dxa"/>
              <w:end w:w="70" w:type="dxa"/>
            </w:tcMar>
            <w:shd w:fill="EAF2F8"/>
          </w:tcPr>
          <w:p>
            <w:r>
              <w:rPr>
                <w:rFonts w:ascii="Times New Roman" w:hAnsi="Times New Roman"/>
                <w:sz w:val="14"/>
              </w:rPr>
              <w:t>Beraat, CYOK, mahkûmiyet, ret, düşme</w:t>
            </w:r>
          </w:p>
        </w:tc>
      </w:tr>
      <w:tr>
        <w:tc>
          <w:tcPr>
            <w:tcW w:type="dxa" w:w="2088"/>
            <w:vAlign w:val="center"/>
            <w:tcMar>
              <w:top w:w="70" w:type="dxa"/>
              <w:start w:w="70" w:type="dxa"/>
              <w:bottom w:w="70" w:type="dxa"/>
              <w:end w:w="70" w:type="dxa"/>
            </w:tcMar>
          </w:tcPr>
          <w:p>
            <w:r>
              <w:rPr>
                <w:rFonts w:ascii="Times New Roman" w:hAnsi="Times New Roman"/>
                <w:sz w:val="14"/>
              </w:rPr>
              <w:t>Suç normu</w:t>
            </w:r>
          </w:p>
        </w:tc>
        <w:tc>
          <w:tcPr>
            <w:tcW w:type="dxa" w:w="3888"/>
            <w:vAlign w:val="center"/>
            <w:tcMar>
              <w:top w:w="70" w:type="dxa"/>
              <w:start w:w="70" w:type="dxa"/>
              <w:bottom w:w="70" w:type="dxa"/>
              <w:end w:w="70" w:type="dxa"/>
            </w:tcMar>
          </w:tcPr>
          <w:p>
            <w:r>
              <w:rPr>
                <w:rFonts w:ascii="Times New Roman" w:hAnsi="Times New Roman"/>
                <w:sz w:val="14"/>
              </w:rPr>
              <w:t>Temel ve nitelikli hâl</w:t>
            </w:r>
          </w:p>
        </w:tc>
        <w:tc>
          <w:tcPr>
            <w:tcW w:type="dxa" w:w="4032"/>
            <w:vAlign w:val="center"/>
            <w:tcMar>
              <w:top w:w="70" w:type="dxa"/>
              <w:start w:w="70" w:type="dxa"/>
              <w:bottom w:w="70" w:type="dxa"/>
              <w:end w:w="70" w:type="dxa"/>
            </w:tcMar>
          </w:tcPr>
          <w:p>
            <w:r>
              <w:rPr>
                <w:rFonts w:ascii="Times New Roman" w:hAnsi="Times New Roman"/>
                <w:sz w:val="14"/>
              </w:rPr>
              <w:t>Madde, fıkra, bent</w:t>
            </w:r>
          </w:p>
        </w:tc>
      </w:tr>
      <w:tr>
        <w:tc>
          <w:tcPr>
            <w:tcW w:type="dxa" w:w="2088"/>
            <w:vAlign w:val="center"/>
            <w:tcMar>
              <w:top w:w="70" w:type="dxa"/>
              <w:start w:w="70" w:type="dxa"/>
              <w:bottom w:w="70" w:type="dxa"/>
              <w:end w:w="70" w:type="dxa"/>
            </w:tcMar>
            <w:shd w:fill="EAF2F8"/>
          </w:tcPr>
          <w:p>
            <w:r>
              <w:rPr>
                <w:rFonts w:ascii="Times New Roman" w:hAnsi="Times New Roman"/>
                <w:sz w:val="14"/>
              </w:rPr>
              <w:t>Ceza hesabı</w:t>
            </w:r>
          </w:p>
        </w:tc>
        <w:tc>
          <w:tcPr>
            <w:tcW w:type="dxa" w:w="3888"/>
            <w:vAlign w:val="center"/>
            <w:tcMar>
              <w:top w:w="70" w:type="dxa"/>
              <w:start w:w="70" w:type="dxa"/>
              <w:bottom w:w="70" w:type="dxa"/>
              <w:end w:w="70" w:type="dxa"/>
            </w:tcMar>
            <w:shd w:fill="EAF2F8"/>
          </w:tcPr>
          <w:p>
            <w:r>
              <w:rPr>
                <w:rFonts w:ascii="Times New Roman" w:hAnsi="Times New Roman"/>
                <w:sz w:val="14"/>
              </w:rPr>
              <w:t>Artırım ve indirim sırası</w:t>
            </w:r>
          </w:p>
        </w:tc>
        <w:tc>
          <w:tcPr>
            <w:tcW w:type="dxa" w:w="4032"/>
            <w:vAlign w:val="center"/>
            <w:tcMar>
              <w:top w:w="70" w:type="dxa"/>
              <w:start w:w="70" w:type="dxa"/>
              <w:bottom w:w="70" w:type="dxa"/>
              <w:end w:w="70" w:type="dxa"/>
            </w:tcMar>
            <w:shd w:fill="EAF2F8"/>
          </w:tcPr>
          <w:p>
            <w:r>
              <w:rPr>
                <w:rFonts w:ascii="Times New Roman" w:hAnsi="Times New Roman"/>
                <w:sz w:val="14"/>
              </w:rPr>
              <w:t>Ara ve sonuç miktarlar</w:t>
            </w:r>
          </w:p>
        </w:tc>
      </w:tr>
      <w:tr>
        <w:tc>
          <w:tcPr>
            <w:tcW w:type="dxa" w:w="2088"/>
            <w:vAlign w:val="center"/>
            <w:tcMar>
              <w:top w:w="70" w:type="dxa"/>
              <w:start w:w="70" w:type="dxa"/>
              <w:bottom w:w="70" w:type="dxa"/>
              <w:end w:w="70" w:type="dxa"/>
            </w:tcMar>
          </w:tcPr>
          <w:p>
            <w:r>
              <w:rPr>
                <w:rFonts w:ascii="Times New Roman" w:hAnsi="Times New Roman"/>
                <w:sz w:val="14"/>
              </w:rPr>
              <w:t>Adli para</w:t>
            </w:r>
          </w:p>
        </w:tc>
        <w:tc>
          <w:tcPr>
            <w:tcW w:type="dxa" w:w="3888"/>
            <w:vAlign w:val="center"/>
            <w:tcMar>
              <w:top w:w="70" w:type="dxa"/>
              <w:start w:w="70" w:type="dxa"/>
              <w:bottom w:w="70" w:type="dxa"/>
              <w:end w:w="70" w:type="dxa"/>
            </w:tcMar>
          </w:tcPr>
          <w:p>
            <w:r>
              <w:rPr>
                <w:rFonts w:ascii="Times New Roman" w:hAnsi="Times New Roman"/>
                <w:sz w:val="14"/>
              </w:rPr>
              <w:t>Gün, birim, toplam</w:t>
            </w:r>
          </w:p>
        </w:tc>
        <w:tc>
          <w:tcPr>
            <w:tcW w:type="dxa" w:w="4032"/>
            <w:vAlign w:val="center"/>
            <w:tcMar>
              <w:top w:w="70" w:type="dxa"/>
              <w:start w:w="70" w:type="dxa"/>
              <w:bottom w:w="70" w:type="dxa"/>
              <w:end w:w="70" w:type="dxa"/>
            </w:tcMar>
          </w:tcPr>
          <w:p>
            <w:r>
              <w:rPr>
                <w:rFonts w:ascii="Times New Roman" w:hAnsi="Times New Roman"/>
                <w:sz w:val="14"/>
              </w:rPr>
              <w:t>Taksit ve doğru ihtar</w:t>
            </w:r>
          </w:p>
        </w:tc>
      </w:tr>
      <w:tr>
        <w:tc>
          <w:tcPr>
            <w:tcW w:type="dxa" w:w="2088"/>
            <w:vAlign w:val="center"/>
            <w:tcMar>
              <w:top w:w="70" w:type="dxa"/>
              <w:start w:w="70" w:type="dxa"/>
              <w:bottom w:w="70" w:type="dxa"/>
              <w:end w:w="70" w:type="dxa"/>
            </w:tcMar>
            <w:shd w:fill="EAF2F8"/>
          </w:tcPr>
          <w:p>
            <w:r>
              <w:rPr>
                <w:rFonts w:ascii="Times New Roman" w:hAnsi="Times New Roman"/>
                <w:sz w:val="14"/>
              </w:rPr>
              <w:t>Tedbir ve ferî sonuç</w:t>
            </w:r>
          </w:p>
        </w:tc>
        <w:tc>
          <w:tcPr>
            <w:tcW w:type="dxa" w:w="3888"/>
            <w:vAlign w:val="center"/>
            <w:tcMar>
              <w:top w:w="70" w:type="dxa"/>
              <w:start w:w="70" w:type="dxa"/>
              <w:bottom w:w="70" w:type="dxa"/>
              <w:end w:w="70" w:type="dxa"/>
            </w:tcMar>
            <w:shd w:fill="EAF2F8"/>
          </w:tcPr>
          <w:p>
            <w:r>
              <w:rPr>
                <w:rFonts w:ascii="Times New Roman" w:hAnsi="Times New Roman"/>
                <w:sz w:val="14"/>
              </w:rPr>
              <w:t>Özel kanuni dayanak</w:t>
            </w:r>
          </w:p>
        </w:tc>
        <w:tc>
          <w:tcPr>
            <w:tcW w:type="dxa" w:w="4032"/>
            <w:vAlign w:val="center"/>
            <w:tcMar>
              <w:top w:w="70" w:type="dxa"/>
              <w:start w:w="70" w:type="dxa"/>
              <w:bottom w:w="70" w:type="dxa"/>
              <w:end w:w="70" w:type="dxa"/>
            </w:tcMar>
            <w:shd w:fill="EAF2F8"/>
          </w:tcPr>
          <w:p>
            <w:r>
              <w:rPr>
                <w:rFonts w:ascii="Times New Roman" w:hAnsi="Times New Roman"/>
                <w:sz w:val="14"/>
              </w:rPr>
              <w:t>Tür, süre, kişi, eşya</w:t>
            </w:r>
          </w:p>
        </w:tc>
      </w:tr>
      <w:tr>
        <w:tc>
          <w:tcPr>
            <w:tcW w:type="dxa" w:w="2088"/>
            <w:vAlign w:val="center"/>
            <w:tcMar>
              <w:top w:w="70" w:type="dxa"/>
              <w:start w:w="70" w:type="dxa"/>
              <w:bottom w:w="70" w:type="dxa"/>
              <w:end w:w="70" w:type="dxa"/>
            </w:tcMar>
          </w:tcPr>
          <w:p>
            <w:r>
              <w:rPr>
                <w:rFonts w:ascii="Times New Roman" w:hAnsi="Times New Roman"/>
                <w:sz w:val="14"/>
              </w:rPr>
              <w:t>Mahsup</w:t>
            </w:r>
          </w:p>
        </w:tc>
        <w:tc>
          <w:tcPr>
            <w:tcW w:type="dxa" w:w="3888"/>
            <w:vAlign w:val="center"/>
            <w:tcMar>
              <w:top w:w="70" w:type="dxa"/>
              <w:start w:w="70" w:type="dxa"/>
              <w:bottom w:w="70" w:type="dxa"/>
              <w:end w:w="70" w:type="dxa"/>
            </w:tcMar>
          </w:tcPr>
          <w:p>
            <w:r>
              <w:rPr>
                <w:rFonts w:ascii="Times New Roman" w:hAnsi="Times New Roman"/>
                <w:sz w:val="14"/>
              </w:rPr>
              <w:t>Gerçek gözaltı/tutukluluk</w:t>
            </w:r>
          </w:p>
        </w:tc>
        <w:tc>
          <w:tcPr>
            <w:tcW w:type="dxa" w:w="4032"/>
            <w:vAlign w:val="center"/>
            <w:tcMar>
              <w:top w:w="70" w:type="dxa"/>
              <w:start w:w="70" w:type="dxa"/>
              <w:bottom w:w="70" w:type="dxa"/>
              <w:end w:w="70" w:type="dxa"/>
            </w:tcMar>
          </w:tcPr>
          <w:p>
            <w:r>
              <w:rPr>
                <w:rFonts w:ascii="Times New Roman" w:hAnsi="Times New Roman"/>
                <w:sz w:val="14"/>
              </w:rPr>
              <w:t>Başlangıç ve bitiş kayıtları</w:t>
            </w:r>
          </w:p>
        </w:tc>
      </w:tr>
      <w:tr>
        <w:tc>
          <w:tcPr>
            <w:tcW w:type="dxa" w:w="2088"/>
            <w:vAlign w:val="center"/>
            <w:tcMar>
              <w:top w:w="70" w:type="dxa"/>
              <w:start w:w="70" w:type="dxa"/>
              <w:bottom w:w="70" w:type="dxa"/>
              <w:end w:w="70" w:type="dxa"/>
            </w:tcMar>
            <w:shd w:fill="EAF2F8"/>
          </w:tcPr>
          <w:p>
            <w:r>
              <w:rPr>
                <w:rFonts w:ascii="Times New Roman" w:hAnsi="Times New Roman"/>
                <w:sz w:val="14"/>
              </w:rPr>
              <w:t>Kanun yolu</w:t>
            </w:r>
          </w:p>
        </w:tc>
        <w:tc>
          <w:tcPr>
            <w:tcW w:type="dxa" w:w="3888"/>
            <w:vAlign w:val="center"/>
            <w:tcMar>
              <w:top w:w="70" w:type="dxa"/>
              <w:start w:w="70" w:type="dxa"/>
              <w:bottom w:w="70" w:type="dxa"/>
              <w:end w:w="70" w:type="dxa"/>
            </w:tcMar>
            <w:shd w:fill="EAF2F8"/>
          </w:tcPr>
          <w:p>
            <w:r>
              <w:rPr>
                <w:rFonts w:ascii="Times New Roman" w:hAnsi="Times New Roman"/>
                <w:sz w:val="14"/>
              </w:rPr>
              <w:t>Yol, süre, başlangıç</w:t>
            </w:r>
          </w:p>
        </w:tc>
        <w:tc>
          <w:tcPr>
            <w:tcW w:type="dxa" w:w="4032"/>
            <w:vAlign w:val="center"/>
            <w:tcMar>
              <w:top w:w="70" w:type="dxa"/>
              <w:start w:w="70" w:type="dxa"/>
              <w:bottom w:w="70" w:type="dxa"/>
              <w:end w:w="70" w:type="dxa"/>
            </w:tcMar>
            <w:shd w:fill="EAF2F8"/>
          </w:tcPr>
          <w:p>
            <w:r>
              <w:rPr>
                <w:rFonts w:ascii="Times New Roman" w:hAnsi="Times New Roman"/>
                <w:sz w:val="14"/>
              </w:rPr>
              <w:t>Merci ve başvuru şekli</w:t>
            </w:r>
          </w:p>
        </w:tc>
      </w:tr>
      <w:tr>
        <w:tc>
          <w:tcPr>
            <w:tcW w:type="dxa" w:w="2088"/>
            <w:vAlign w:val="center"/>
            <w:tcMar>
              <w:top w:w="70" w:type="dxa"/>
              <w:start w:w="70" w:type="dxa"/>
              <w:bottom w:w="70" w:type="dxa"/>
              <w:end w:w="70" w:type="dxa"/>
            </w:tcMar>
          </w:tcPr>
          <w:p>
            <w:r>
              <w:rPr>
                <w:rFonts w:ascii="Times New Roman" w:hAnsi="Times New Roman"/>
                <w:sz w:val="14"/>
              </w:rPr>
              <w:t>Tazminat</w:t>
            </w:r>
          </w:p>
        </w:tc>
        <w:tc>
          <w:tcPr>
            <w:tcW w:type="dxa" w:w="3888"/>
            <w:vAlign w:val="center"/>
            <w:tcMar>
              <w:top w:w="70" w:type="dxa"/>
              <w:start w:w="70" w:type="dxa"/>
              <w:bottom w:w="70" w:type="dxa"/>
              <w:end w:w="70" w:type="dxa"/>
            </w:tcMar>
          </w:tcPr>
          <w:p>
            <w:r>
              <w:rPr>
                <w:rFonts w:ascii="Times New Roman" w:hAnsi="Times New Roman"/>
                <w:sz w:val="14"/>
              </w:rPr>
              <w:t>Olanağın bulunup bulunmaması</w:t>
            </w:r>
          </w:p>
        </w:tc>
        <w:tc>
          <w:tcPr>
            <w:tcW w:type="dxa" w:w="4032"/>
            <w:vAlign w:val="center"/>
            <w:tcMar>
              <w:top w:w="70" w:type="dxa"/>
              <w:start w:w="70" w:type="dxa"/>
              <w:bottom w:w="70" w:type="dxa"/>
              <w:end w:w="70" w:type="dxa"/>
            </w:tcMar>
          </w:tcPr>
          <w:p>
            <w:r>
              <w:rPr>
                <w:rFonts w:ascii="Times New Roman" w:hAnsi="Times New Roman"/>
                <w:sz w:val="14"/>
              </w:rPr>
              <w:t>Otomatik sonuç değildir</w:t>
            </w:r>
          </w:p>
        </w:tc>
      </w:tr>
      <w:tr>
        <w:tc>
          <w:tcPr>
            <w:tcW w:type="dxa" w:w="2088"/>
            <w:vAlign w:val="center"/>
            <w:tcMar>
              <w:top w:w="70" w:type="dxa"/>
              <w:start w:w="70" w:type="dxa"/>
              <w:bottom w:w="70" w:type="dxa"/>
              <w:end w:w="70" w:type="dxa"/>
            </w:tcMar>
            <w:shd w:fill="EAF2F8"/>
          </w:tcPr>
          <w:p>
            <w:r>
              <w:rPr>
                <w:rFonts w:ascii="Times New Roman" w:hAnsi="Times New Roman"/>
                <w:sz w:val="14"/>
              </w:rPr>
              <w:t>Uyum</w:t>
            </w:r>
          </w:p>
        </w:tc>
        <w:tc>
          <w:tcPr>
            <w:tcW w:type="dxa" w:w="3888"/>
            <w:vAlign w:val="center"/>
            <w:tcMar>
              <w:top w:w="70" w:type="dxa"/>
              <w:start w:w="70" w:type="dxa"/>
              <w:bottom w:w="70" w:type="dxa"/>
              <w:end w:w="70" w:type="dxa"/>
            </w:tcMar>
            <w:shd w:fill="EAF2F8"/>
          </w:tcPr>
          <w:p>
            <w:r>
              <w:rPr>
                <w:rFonts w:ascii="Times New Roman" w:hAnsi="Times New Roman"/>
                <w:sz w:val="14"/>
              </w:rPr>
              <w:t>Kısa karar ve gerekçe</w:t>
            </w:r>
          </w:p>
        </w:tc>
        <w:tc>
          <w:tcPr>
            <w:tcW w:type="dxa" w:w="4032"/>
            <w:vAlign w:val="center"/>
            <w:tcMar>
              <w:top w:w="70" w:type="dxa"/>
              <w:start w:w="70" w:type="dxa"/>
              <w:bottom w:w="70" w:type="dxa"/>
              <w:end w:w="70" w:type="dxa"/>
            </w:tcMar>
            <w:shd w:fill="EAF2F8"/>
          </w:tcPr>
          <w:p>
            <w:r>
              <w:rPr>
                <w:rFonts w:ascii="Times New Roman" w:hAnsi="Times New Roman"/>
                <w:sz w:val="14"/>
              </w:rPr>
              <w:t>Çelişkisiz, uygulanabilir sonuç</w:t>
            </w:r>
          </w:p>
        </w:tc>
      </w:tr>
    </w:tbl>
    <w:p>
      <w:pPr>
        <w:pStyle w:val="Heading1"/>
      </w:pPr>
      <w:r>
        <w:t>Başvuru Öncesi Son Kontrol</w:t>
      </w:r>
    </w:p>
    <w:p>
      <w:pPr>
        <w:pStyle w:val="ListBullet"/>
      </w:pPr>
      <w:r>
        <w:t>Her sanık ve suç için CMK 223 karar türünü ve dayanak fıkra/bendi tekilleştirin.</w:t>
      </w:r>
    </w:p>
    <w:p>
      <w:pPr>
        <w:pStyle w:val="ListBullet"/>
      </w:pPr>
      <w:r>
        <w:t>Uygulanan suç, artırım, indirim, seçenek yaptırım ve güvenlik tedbiri maddelerini sırayla yazın.</w:t>
      </w:r>
    </w:p>
    <w:p>
      <w:pPr>
        <w:pStyle w:val="ListBullet"/>
      </w:pPr>
      <w:r>
        <w:t>Ceza miktarı, adli para hesabı, mahsup ve eşya bilgilerini gerçek dosya kayıtlarıyla karşılaştırın.</w:t>
      </w:r>
    </w:p>
    <w:p>
      <w:pPr>
        <w:pStyle w:val="ListBullet"/>
      </w:pPr>
      <w:r>
        <w:t>Kanun yolunun adını, güncel süre ve başlangıcını, merci ile başvuru şeklini kontrol edin.</w:t>
      </w:r>
    </w:p>
    <w:p>
      <w:pPr>
        <w:pStyle w:val="ListBullet"/>
      </w:pPr>
      <w:r>
        <w:t>Tazminat bildirimini otomatik hak veya ödeme sonucu gibi sunmayın.</w:t>
      </w:r>
    </w:p>
    <w:p>
      <w:pPr>
        <w:pStyle w:val="ListBullet"/>
      </w:pPr>
      <w:r>
        <w:t>Kısa karar, gerekçe ve hüküm fıkrası arasında kişi, suç, madde ve miktar çelişkisi bırakmayın.</w:t>
      </w:r>
    </w:p>
    <w:sectPr w:rsidR="00FC693F" w:rsidRPr="0006063C" w:rsidSect="00034616">
      <w:pgSz w:w="12240" w:h="15840"/>
      <w:pgMar w:top="619" w:right="907" w:bottom="619"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Bu örnek yalnız gerçek dosya kayıtları ve güncel mevzuata göre uyarlanmalıdır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0" w:line="230" w:lineRule="auto"/>
    </w:pPr>
    <w:rPr>
      <w:rFonts w:ascii="Times New Roman" w:hAnsi="Times New Roman" w:eastAsia="Times New Roman"/>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000000"/>
      <w:sz w:val="19"/>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1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eastAsia="Times New Roman"/>
      <w:b/>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232 6 Hüküm Fıkrası ve Kanun Yolu Bildirimi Dilekçesi</dc:title>
  <dc:subject>Ceza hükmünün sonuç bölümünde zorunlu unsurların açık gösterilmesi</dc:subject>
  <dc:creator>Av. Halil Bakırcı</dc:creator>
  <cp:keywords>CMK 232/6, hüküm fıkrası, kanun yolu, ceza miktarı, tazminat</cp:keywords>
  <dc:description>generated by python-docx</dc:description>
  <cp:lastModifiedBy/>
  <cp:revision>1</cp:revision>
  <dcterms:created xsi:type="dcterms:W3CDTF">2013-12-23T23:15:00Z</dcterms:created>
  <dcterms:modified xsi:type="dcterms:W3CDTF">2013-12-23T23:15:00Z</dcterms:modified>
  <cp:category/>
</cp:coreProperties>
</file>