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200"/>
        <w:jc w:val="center"/>
      </w:pPr>
      <w:r>
        <w:rPr>
          <w:rFonts w:ascii="Times New Roman" w:hAnsi="Times New Roman" w:eastAsia="Times New Roman"/>
          <w:b/>
          <w:sz w:val="26"/>
        </w:rPr>
        <w:t>[... CEZA MAHKEMESİNE / ... CUMHURİYET BAŞSAVCILIĞINA]</w:t>
      </w:r>
    </w:p>
    <w:p>
      <w:r>
        <w:rPr>
          <w:rFonts w:ascii="Times New Roman" w:hAnsi="Times New Roman" w:eastAsia="Times New Roman"/>
          <w:b/>
        </w:rPr>
        <w:t xml:space="preserve">DOSYA NO: </w:t>
      </w:r>
      <w:r>
        <w:rPr>
          <w:rFonts w:ascii="Times New Roman" w:hAnsi="Times New Roman" w:eastAsia="Times New Roman"/>
        </w:rPr>
        <w:t>[Esas / soruşturma numarası]</w:t>
      </w:r>
    </w:p>
    <w:p>
      <w:r>
        <w:rPr>
          <w:rFonts w:ascii="Times New Roman" w:hAnsi="Times New Roman" w:eastAsia="Times New Roman"/>
          <w:b/>
        </w:rPr>
        <w:t xml:space="preserve">TALEPTE BULUNAN: </w:t>
      </w:r>
      <w:r>
        <w:rPr>
          <w:rFonts w:ascii="Times New Roman" w:hAnsi="Times New Roman" w:eastAsia="Times New Roman"/>
        </w:rPr>
        <w:t>[Sanık / şüpheli / katılan; ad-soyad ve kimlik bilgisi]</w:t>
      </w:r>
    </w:p>
    <w:p>
      <w:r>
        <w:rPr>
          <w:rFonts w:ascii="Times New Roman" w:hAnsi="Times New Roman" w:eastAsia="Times New Roman"/>
          <w:b/>
        </w:rPr>
        <w:t xml:space="preserve">MÜDAFİİ / VEKİLİ: </w:t>
      </w:r>
      <w:r>
        <w:rPr>
          <w:rFonts w:ascii="Times New Roman" w:hAnsi="Times New Roman" w:eastAsia="Times New Roman"/>
        </w:rPr>
        <w:t>[Varsa ad-soyad, baro ve sicil]</w:t>
      </w:r>
    </w:p>
    <w:p>
      <w:r>
        <w:rPr>
          <w:rFonts w:ascii="Times New Roman" w:hAnsi="Times New Roman" w:eastAsia="Times New Roman"/>
          <w:b/>
        </w:rPr>
        <w:t xml:space="preserve">BİLİRKİŞİ: </w:t>
      </w:r>
      <w:r>
        <w:rPr>
          <w:rFonts w:ascii="Times New Roman" w:hAnsi="Times New Roman" w:eastAsia="Times New Roman"/>
        </w:rPr>
        <w:t>[Ad-soyad, uzmanlık alanı, sicil bilgisi]</w:t>
      </w:r>
    </w:p>
    <w:p>
      <w:r>
        <w:rPr>
          <w:rFonts w:ascii="Times New Roman" w:hAnsi="Times New Roman" w:eastAsia="Times New Roman"/>
          <w:b/>
        </w:rPr>
        <w:t xml:space="preserve">KONU: </w:t>
      </w:r>
      <w:r>
        <w:rPr>
          <w:rFonts w:ascii="Times New Roman" w:hAnsi="Times New Roman" w:eastAsia="Times New Roman"/>
        </w:rPr>
        <w:t>[tarih] tarihli görevlendirmeyle atanan bilirkişinin bağlı bulunduğu kamu kurumu ile dosya arasındaki belgeli bağlantı nedeniyle CMK m.64/3 uyarınca atamanın kaldırılması ve bağımsız yeni bilirkişi seçilmesi talebidir.</w:t>
      </w:r>
    </w:p>
    <w:p>
      <w:pPr>
        <w:pStyle w:val="Heading1"/>
        <w:keepNext/>
        <w:keepLines/>
      </w:pPr>
      <w:r>
        <w:rPr>
          <w:rFonts w:ascii="Times New Roman" w:hAnsi="Times New Roman" w:eastAsia="Times New Roman"/>
        </w:rPr>
        <w:t>AÇIKLAMALAR</w:t>
      </w:r>
    </w:p>
    <w:p>
      <w:pPr>
        <w:keepLines/>
        <w:ind w:firstLine="403"/>
      </w:pPr>
      <w:r>
        <w:rPr>
          <w:rFonts w:ascii="Times New Roman" w:hAnsi="Times New Roman" w:eastAsia="Times New Roman"/>
        </w:rPr>
        <w:t>1. Dosyada [tarih ve karar/tutanak numarası] ile [temel ve alt uzmanlık alanı] konusunda bilirkişi incelemesi yapılmasına ve [ad-soyad] isimli kişinin bilirkişi olarak görevlendirilmesine karar verilmiştir. Görevlendirme yazısında cevaplanması istenen teknik sorular şunlardır: [soruları numaralarıyla aynen yazınız]. Atama kararının örneği Ek-1’dedir.</w:t>
      </w:r>
    </w:p>
    <w:p>
      <w:pPr>
        <w:keepLines/>
        <w:ind w:firstLine="403"/>
      </w:pPr>
      <w:r>
        <w:rPr>
          <w:rFonts w:ascii="Times New Roman" w:hAnsi="Times New Roman" w:eastAsia="Times New Roman"/>
        </w:rPr>
        <w:t>2. Bilirkişinin atama tarihi itibarıyla [kamu kurumunun tam adı] bünyesinde [birim ve görev] olarak görev yaptığı [resmî kayıt/yazı] ile sabittir. Belge, yalnız kamu görevlisi sıfatını değil, kişinin hangi kuruma ve birime bağlı olduğunu göstermektedir. Belgenin tarihi ve sayısı [bilgi] olup Ek-2’de sunulmuştur. Geçici görevlendirme, kurum değişikliği veya görevden ayrılma varsa atama tarihindeki gerçek durum ayrıca açıklanmalıdır.</w:t>
      </w:r>
    </w:p>
    <w:p>
      <w:pPr>
        <w:keepLines/>
        <w:ind w:firstLine="403"/>
      </w:pPr>
      <w:r>
        <w:rPr>
          <w:rFonts w:ascii="Times New Roman" w:hAnsi="Times New Roman" w:eastAsia="Times New Roman"/>
        </w:rPr>
        <w:t>3. Ceza davasının aynı kurumla ilgisi şu dosya kayıtlarından anlaşılmaktadır: [iddianamenin ilgili bölümü, kurum işlemi, teknik kayıt, görev emri, denetim raporu veya dosyada gerçekten bulunan başka belgeyi tarih ve sayısıyla yazınız]. Bağlantı, kurum adlarının tesadüfen aynı dosyada geçmesinden ibaret değildir. Bilirkişiye yöneltilen [soru numarası], doğrudan [kurumun işlemi/kaydı/personeli/teknik sistemi] hakkında değerlendirme yapılmasını gerektirmektedir. İlgili kayıtlar Ek-3 ve Ek-4’tedir.</w:t>
      </w:r>
    </w:p>
    <w:p>
      <w:pPr>
        <w:keepLines/>
        <w:ind w:firstLine="403"/>
      </w:pPr>
      <w:r>
        <w:rPr>
          <w:rFonts w:ascii="Times New Roman" w:hAnsi="Times New Roman" w:eastAsia="Times New Roman"/>
        </w:rPr>
        <w:t>4. 5271 sayılı Ceza Muhakemesi Kanunu’nun 64/3. maddesi, kanunların belirli konularda görevlendirdiği resmî bilirkişilerin öncelikle atanacağını; ancak kamu görevlilerinin bağlı bulundukları kurumla ilgili davalarda bilirkişi olarak atanamayacağını açıkça düzenlemektedir. Somut başvuruda yalnız kamu görevlisi sıfatına değil, kişinin bağlı olduğu kurum ile dava ve bilirkişi soruları arasındaki doğrudan ve belgeli bağa dayanılmaktadır.</w:t>
      </w:r>
    </w:p>
    <w:p>
      <w:pPr>
        <w:keepLines/>
        <w:ind w:firstLine="403"/>
      </w:pPr>
      <w:r>
        <w:rPr>
          <w:rFonts w:ascii="Times New Roman" w:hAnsi="Times New Roman" w:eastAsia="Times New Roman"/>
        </w:rPr>
        <w:t>5. Bilirkişilik Yönetmeliği m.8’e göre bilirkişi görevlendiren mercie, davanın taraflarına ve kendi işverenine karşı bağımsız olmalı ve görevini yalnız uzmanlık alanındaki bilimsel verilere göre yerine getirmelidir. Yönetmelik m.9/3, iş ilişkisinin bulunduğu kurumun tarafı olduğu veya ilgili bulunduğu davada görevlendirmenin kabul edilemeyeceğini düzenlemektedir. Bu hükümler, CMK m.64/3’teki özel atama engelini bağımsızlık ve tarafsızlık yönünden tamamlamaktadır.</w:t>
      </w:r>
    </w:p>
    <w:p>
      <w:pPr>
        <w:keepLines/>
        <w:ind w:firstLine="403"/>
      </w:pPr>
      <w:r>
        <w:rPr>
          <w:rFonts w:ascii="Times New Roman" w:hAnsi="Times New Roman" w:eastAsia="Times New Roman"/>
        </w:rPr>
        <w:t>6. [Atama daha önce bildirildiyse:] Bilirkişinin kimliği ve kurum bağlantısı tarafımıza [UYAP tebliğ/celse/kurum cevabı] ile [tarih] tarihinde bildirilmiştir. İşbu talep, sebebin öğrenilmesinden sonra gecikmeden sunulmaktadır. [Rapor sunulduysa:] [tarih] tarihli raporun teknik içeriğine ilişkin CMK m.67 kapsamındaki itirazlarımız saklıdır; bu dilekçe öncelikle bilirkişinin kişi ve kurum bağlantısından doğan atama engeline ilişkindir.</w:t>
      </w:r>
    </w:p>
    <w:p>
      <w:pPr>
        <w:keepLines/>
        <w:ind w:firstLine="403"/>
      </w:pPr>
      <w:r>
        <w:rPr>
          <w:rFonts w:ascii="Times New Roman" w:hAnsi="Times New Roman" w:eastAsia="Times New Roman"/>
        </w:rPr>
        <w:t>7. CMK m.69/1-3 uyarınca bilirkişinin reddi, neden ve dayanak olgular gösterilerek incelenir. Atama engeli; Ek-1 görevlendirme kararı, Ek-2 kurum bağlılığı kaydı ve Ek-3-4 dava bağlantısı kayıtlarıyla somutlaştırılmıştır. Yeni bilirkişinin kurumla bağı bulunmayan ve görevlendirme sorularını karşılayan uzmanlık alanından seçilmesi gerekmektedir.</w:t>
      </w:r>
    </w:p>
    <w:p>
      <w:pPr>
        <w:keepLines/>
        <w:ind w:firstLine="403"/>
      </w:pPr>
      <w:r>
        <w:rPr>
          <w:rFonts w:ascii="Times New Roman" w:hAnsi="Times New Roman" w:eastAsia="Times New Roman"/>
        </w:rPr>
        <w:t>8. CMK m.64/3’teki resmî bilirkişi önceliği ile kamu görevlisinin bağlı kurumuyla ilgili davada atanma yasağı ayrı kurallardır. Dosya konusu için özel kanunla görevlendirilmiş resmî bilirkişi bulunuyorsa bu öncelik atama makamınca incelenmelidir; ancak öncelik, aynı fıkradaki kurumsal bağlantı yasağını ortadan kaldırmaz. Yeni seçimde her iki unsur ayrı ayrı denetlenmelidir.</w:t>
      </w:r>
    </w:p>
    <w:p>
      <w:pPr>
        <w:keepLines/>
        <w:ind w:firstLine="403"/>
      </w:pPr>
      <w:r>
        <w:rPr>
          <w:rFonts w:ascii="Times New Roman" w:hAnsi="Times New Roman" w:eastAsia="Times New Roman"/>
        </w:rPr>
        <w:t>9. Soruşturma evresinde başvuru atamayı yapan Cumhuriyet savcısına sunulur. CMK m.63/3 savcının bilirkişi atama yetkilerini, CMK m.69/3 ise savcının kabul etmediği ret isteminin sulh ceza hâkimince incelenmesini düzenler. Kovuşturmada istemi davayı görmekte olan hâkim veya mahkeme inceler. Dosyanın evresine uymayan seçenek bu dilekçeden silinmelidir.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m.63, 64/3, 69 ve ilgili hükümler; 6754 sayılı Bilirkişilik Kanunu; Bilirkişilik Yönetmeliği m.8, 9, 53 ve ilgili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Atama kararı/görevlendirme yazısı; Ek-2 bilirkişinin kurum ve birim bağlılığını gösteren resmî kayıt; Ek-3 iddianame veya dava konusu kurumsal işlemi gösteren bölüm; Ek-4 bilirkişiye verilen sorular ile kurum bağlantısını gösteren kayıt; Ek-5 öğrenme tarihini gösteren UYAP/celse/tebliğ kaydı; dosyada bulunan diğer hukuka uygun deliller.</w:t>
      </w:r>
    </w:p>
    <w:p>
      <w:pPr>
        <w:pStyle w:val="Heading1"/>
        <w:keepNext/>
        <w:keepLines/>
      </w:pPr>
      <w:r>
        <w:rPr>
          <w:rFonts w:ascii="Times New Roman" w:hAnsi="Times New Roman" w:eastAsia="Times New Roman"/>
        </w:rPr>
        <w:t>SONUÇ VE İSTEM</w:t>
      </w:r>
    </w:p>
    <w:p>
      <w:pPr>
        <w:ind w:firstLine="403"/>
      </w:pPr>
      <w:r>
        <w:rPr>
          <w:rFonts w:ascii="Times New Roman" w:hAnsi="Times New Roman" w:eastAsia="Times New Roman"/>
        </w:rPr>
        <w:t>Açıklanan nedenlerle, [ad-soyad] hakkında CMK m.64/3’teki atama yasağının uygulanmasına; mevcut bilirkişi görevlendirmesinin kaldırılmasına; henüz teslim edilmemiş dosya ve inceleme materyalinin geri alınmasına; [varsa sunulan raporun] atama engeli ve CMK m.67 kapsamındaki ayrı teknik itirazlarımız gözetilerek değerlendirilmesine; bağlı kurumla ilişkisi bulunmayan ve gerekli uzmanlık alanına sahip yeni bilirkişi görevlendirilmesine; soruşturma evresinde ret istemi Cumhuriyet savcılığınca kabul edilmezse CMK m.69/3 uyarınca sulh ceza hâkimi incelemesinin sağlanmasına karar verilmesini saygıyla talep ederim. [Tarih]</w:t>
      </w:r>
    </w:p>
    <w:p>
      <w:pPr>
        <w:jc w:val="right"/>
      </w:pPr>
      <w:r>
        <w:rPr>
          <w:rFonts w:ascii="Times New Roman" w:hAnsi="Times New Roman" w:eastAsia="Times New Roman"/>
          <w:b/>
        </w:rPr>
        <w:t>[İmza]</w:t>
        <w:br/>
        <w:t>[Ad-soyad]</w:t>
      </w:r>
    </w:p>
    <w:p>
      <w:pPr>
        <w:pStyle w:val="Heading1"/>
        <w:keepNext/>
        <w:keepLines/>
      </w:pPr>
      <w:r>
        <w:rPr>
          <w:rFonts w:ascii="Times New Roman" w:hAnsi="Times New Roman" w:eastAsia="Times New Roman"/>
        </w:rPr>
        <w:t>UYARLAMA KONTROLÜ</w:t>
      </w:r>
    </w:p>
    <w:p>
      <w:pPr/>
      <w:r>
        <w:rPr>
          <w:rFonts w:ascii="Times New Roman" w:hAnsi="Times New Roman" w:eastAsia="Times New Roman"/>
        </w:rPr>
        <w:t>• Köşeli parantezli alanları gerçek dosya kaydıyla doldurun; bulunmayan belgeyi ek listesinde bırakmayın.</w:t>
      </w:r>
    </w:p>
    <w:p>
      <w:pPr/>
      <w:r>
        <w:rPr>
          <w:rFonts w:ascii="Times New Roman" w:hAnsi="Times New Roman" w:eastAsia="Times New Roman"/>
        </w:rPr>
        <w:t>• Kamu görevlisinin atama tarihindeki kurumunu ve birimini doğrulayın.</w:t>
      </w:r>
    </w:p>
    <w:p>
      <w:pPr/>
      <w:r>
        <w:rPr>
          <w:rFonts w:ascii="Times New Roman" w:hAnsi="Times New Roman" w:eastAsia="Times New Roman"/>
        </w:rPr>
        <w:t>• Kurum ile dava arasındaki bağlantıyı atama sorularıyla eşleştirin.</w:t>
      </w:r>
    </w:p>
    <w:p>
      <w:pPr/>
      <w:r>
        <w:rPr>
          <w:rFonts w:ascii="Times New Roman" w:hAnsi="Times New Roman" w:eastAsia="Times New Roman"/>
        </w:rPr>
        <w:t>• Soruşturma ve kovuşturma seçeneklerinden dosyaya uymayanını silin.</w:t>
      </w:r>
    </w:p>
    <w:p>
      <w:pPr/>
      <w:r>
        <w:rPr>
          <w:rFonts w:ascii="Times New Roman" w:hAnsi="Times New Roman" w:eastAsia="Times New Roman"/>
        </w:rPr>
        <w:t>• Rapor sunulmuşsa teknik itirazları CMK m.67 kapsamında ayrıca açıklayın.</w:t>
      </w:r>
    </w:p>
    <w:p>
      <w:pPr/>
      <w:r>
        <w:rPr>
          <w:rFonts w:ascii="Times New Roman" w:hAnsi="Times New Roman" w:eastAsia="Times New Roman"/>
        </w:rPr>
        <w:t>• İlgisiz kişisel verileri karartın; hukuka aykırı elde edilmiş kayıt eklemeyin.</w:t>
      </w:r>
    </w:p>
    <w:sectPr w:rsidR="00FC693F" w:rsidRPr="0006063C" w:rsidSect="00034616">
      <w:footerReference w:type="default" r:id="rId9"/>
      <w:pgSz w:w="12240" w:h="15840"/>
      <w:pgMar w:top="936" w:right="1037"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CMK 64/3 · Kamu Görevlisi Bilirkişi Atamasına İtiraz · Düzenlenebilir Örnek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Times New Roman" w:hAnsi="Times New Roman" w:eastAsia="Times New Roman"/>
      <w:b/>
      <w:bCs/>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Times New Roman" w:hAnsi="Times New Roman" w:eastAsia="Times New Roman"/>
      <w:b/>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