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t>Bilirkişinin Duruşma Salonundan Ayrılmasına İzin Verilmemesi Talebi</w:t>
      </w:r>
    </w:p>
    <w:p>
      <w:pPr>
        <w:spacing w:after="80"/>
        <w:jc w:val="center"/>
      </w:pPr>
      <w:r>
        <w:rPr>
          <w:rFonts w:ascii="Arial" w:hAnsi="Arial"/>
          <w:b/>
          <w:sz w:val="21"/>
        </w:rPr>
        <w:t>CMK m. 68  CMK m. 201  CMK m. 219 ve 221</w:t>
      </w:r>
    </w:p>
    <w:p>
      <w:pPr>
        <w:spacing w:after="100"/>
        <w:jc w:val="center"/>
      </w:pPr>
      <w:r>
        <w:rPr>
          <w:rFonts w:ascii="Arial" w:hAnsi="Arial"/>
          <w:b/>
          <w:sz w:val="21"/>
        </w:rPr>
        <w:t>[… AĞIR CEZA / ASLİYE CEZA MAHKEMESİNE]</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5227"/>
        <w:gridCol w:w="5227"/>
      </w:tblGrid>
      <w:tr>
        <w:tc>
          <w:tcPr>
            <w:tcW w:type="dxa" w:w="2419"/>
            <w:shd w:fill="F3F6F8"/>
            <w:vAlign w:val="center"/>
            <w:tcMar>
              <w:top w:w="90" w:type="dxa"/>
              <w:start w:w="110" w:type="dxa"/>
              <w:bottom w:w="90" w:type="dxa"/>
              <w:end w:w="110" w:type="dxa"/>
            </w:tcMar>
          </w:tcPr>
          <w:p>
            <w:pPr>
              <w:spacing w:after="0"/>
            </w:pPr>
            <w:r>
              <w:rPr>
                <w:rFonts w:ascii="Arial" w:hAnsi="Arial"/>
                <w:b/>
                <w:sz w:val="18"/>
              </w:rPr>
              <w:t>ESAS NO</w:t>
            </w:r>
          </w:p>
        </w:tc>
        <w:tc>
          <w:tcPr>
            <w:tcW w:type="dxa" w:w="7805"/>
            <w:shd w:fill="F3F6F8"/>
            <w:vAlign w:val="center"/>
            <w:tcMar>
              <w:top w:w="90" w:type="dxa"/>
              <w:start w:w="110" w:type="dxa"/>
              <w:bottom w:w="90" w:type="dxa"/>
              <w:end w:w="110" w:type="dxa"/>
            </w:tcMar>
          </w:tcPr>
          <w:p>
            <w:pPr>
              <w:spacing w:after="0"/>
            </w:pPr>
            <w:r>
              <w:rPr>
                <w:rFonts w:ascii="Arial" w:hAnsi="Arial"/>
                <w:sz w:val="18"/>
              </w:rPr>
              <w:t>[2026/… Esas]</w:t>
            </w:r>
          </w:p>
        </w:tc>
      </w:tr>
      <w:tr>
        <w:tc>
          <w:tcPr>
            <w:tcW w:type="dxa" w:w="2419"/>
            <w:vAlign w:val="center"/>
            <w:tcMar>
              <w:top w:w="90" w:type="dxa"/>
              <w:start w:w="110" w:type="dxa"/>
              <w:bottom w:w="90" w:type="dxa"/>
              <w:end w:w="110" w:type="dxa"/>
            </w:tcMar>
          </w:tcPr>
          <w:p>
            <w:pPr>
              <w:spacing w:after="0"/>
            </w:pPr>
            <w:r>
              <w:rPr>
                <w:rFonts w:ascii="Arial" w:hAnsi="Arial"/>
                <w:b/>
                <w:sz w:val="18"/>
              </w:rPr>
              <w:t>TALEPTE BULUNAN</w:t>
            </w:r>
          </w:p>
        </w:tc>
        <w:tc>
          <w:tcPr>
            <w:tcW w:type="dxa" w:w="7805"/>
            <w:vAlign w:val="center"/>
            <w:tcMar>
              <w:top w:w="90" w:type="dxa"/>
              <w:start w:w="110" w:type="dxa"/>
              <w:bottom w:w="90" w:type="dxa"/>
              <w:end w:w="110" w:type="dxa"/>
            </w:tcMar>
          </w:tcPr>
          <w:p>
            <w:pPr>
              <w:spacing w:after="0"/>
            </w:pPr>
            <w:r>
              <w:rPr>
                <w:rFonts w:ascii="Arial" w:hAnsi="Arial"/>
                <w:sz w:val="18"/>
              </w:rPr>
              <w:t>[Sanık / müdafi / katılan / vekil · ad soyad]</w:t>
            </w:r>
          </w:p>
        </w:tc>
      </w:tr>
      <w:tr>
        <w:tc>
          <w:tcPr>
            <w:tcW w:type="dxa" w:w="2419"/>
            <w:shd w:fill="F3F6F8"/>
            <w:vAlign w:val="center"/>
            <w:tcMar>
              <w:top w:w="90" w:type="dxa"/>
              <w:start w:w="110" w:type="dxa"/>
              <w:bottom w:w="90" w:type="dxa"/>
              <w:end w:w="110" w:type="dxa"/>
            </w:tcMar>
          </w:tcPr>
          <w:p>
            <w:pPr>
              <w:spacing w:after="0"/>
            </w:pPr>
            <w:r>
              <w:rPr>
                <w:rFonts w:ascii="Arial" w:hAnsi="Arial"/>
                <w:b/>
                <w:sz w:val="18"/>
              </w:rPr>
              <w:t>BİLİRKİŞİ</w:t>
            </w:r>
          </w:p>
        </w:tc>
        <w:tc>
          <w:tcPr>
            <w:tcW w:type="dxa" w:w="7805"/>
            <w:shd w:fill="F3F6F8"/>
            <w:vAlign w:val="center"/>
            <w:tcMar>
              <w:top w:w="90" w:type="dxa"/>
              <w:start w:w="110" w:type="dxa"/>
              <w:bottom w:w="90" w:type="dxa"/>
              <w:end w:w="110" w:type="dxa"/>
            </w:tcMar>
          </w:tcPr>
          <w:p>
            <w:pPr>
              <w:spacing w:after="0"/>
            </w:pPr>
            <w:r>
              <w:rPr>
                <w:rFonts w:ascii="Arial" w:hAnsi="Arial"/>
                <w:sz w:val="18"/>
              </w:rPr>
              <w:t>[Ad soyad · uzmanlık alanı · rapor tarihi]</w:t>
            </w:r>
          </w:p>
        </w:tc>
      </w:tr>
      <w:tr>
        <w:tc>
          <w:tcPr>
            <w:tcW w:type="dxa" w:w="2419"/>
            <w:vAlign w:val="center"/>
            <w:tcMar>
              <w:top w:w="90" w:type="dxa"/>
              <w:start w:w="110" w:type="dxa"/>
              <w:bottom w:w="90" w:type="dxa"/>
              <w:end w:w="110" w:type="dxa"/>
            </w:tcMar>
          </w:tcPr>
          <w:p>
            <w:pPr>
              <w:spacing w:after="0"/>
            </w:pPr>
            <w:r>
              <w:rPr>
                <w:rFonts w:ascii="Arial" w:hAnsi="Arial"/>
                <w:b/>
                <w:sz w:val="18"/>
              </w:rPr>
              <w:t>CELSE</w:t>
            </w:r>
          </w:p>
        </w:tc>
        <w:tc>
          <w:tcPr>
            <w:tcW w:type="dxa" w:w="7805"/>
            <w:vAlign w:val="center"/>
            <w:tcMar>
              <w:top w:w="90" w:type="dxa"/>
              <w:start w:w="110" w:type="dxa"/>
              <w:bottom w:w="90" w:type="dxa"/>
              <w:end w:w="110" w:type="dxa"/>
            </w:tcMar>
          </w:tcPr>
          <w:p>
            <w:pPr>
              <w:spacing w:after="0"/>
            </w:pPr>
            <w:r>
              <w:rPr>
                <w:rFonts w:ascii="Arial" w:hAnsi="Arial"/>
                <w:sz w:val="18"/>
              </w:rPr>
              <w:t>[Tarih · saat · bilirkişinin açıklama sırası]</w:t>
            </w:r>
          </w:p>
        </w:tc>
      </w:tr>
      <w:tr>
        <w:tc>
          <w:tcPr>
            <w:tcW w:type="dxa" w:w="2419"/>
            <w:shd w:fill="F3F6F8"/>
            <w:vAlign w:val="center"/>
            <w:tcMar>
              <w:top w:w="90" w:type="dxa"/>
              <w:start w:w="110" w:type="dxa"/>
              <w:bottom w:w="90" w:type="dxa"/>
              <w:end w:w="110" w:type="dxa"/>
            </w:tcMar>
          </w:tcPr>
          <w:p>
            <w:pPr>
              <w:spacing w:after="0"/>
            </w:pPr>
            <w:r>
              <w:rPr>
                <w:rFonts w:ascii="Arial" w:hAnsi="Arial"/>
                <w:b/>
                <w:sz w:val="18"/>
              </w:rPr>
              <w:t>KONU</w:t>
            </w:r>
          </w:p>
        </w:tc>
        <w:tc>
          <w:tcPr>
            <w:tcW w:type="dxa" w:w="7805"/>
            <w:shd w:fill="F3F6F8"/>
            <w:vAlign w:val="center"/>
            <w:tcMar>
              <w:top w:w="90" w:type="dxa"/>
              <w:start w:w="110" w:type="dxa"/>
              <w:bottom w:w="90" w:type="dxa"/>
              <w:end w:w="110" w:type="dxa"/>
            </w:tcMar>
          </w:tcPr>
          <w:p>
            <w:pPr>
              <w:spacing w:after="0"/>
            </w:pPr>
            <w:r>
              <w:rPr>
                <w:rFonts w:ascii="Arial" w:hAnsi="Arial"/>
                <w:sz w:val="18"/>
              </w:rPr>
              <w:t>CMK m.68/2 uyarınca teknik tartışma tamamlanıncaya kadar bilirkişinin duruşma salonundan çekilmesine izin verilmemesi talebidir.</w:t>
            </w:r>
          </w:p>
        </w:tc>
      </w:tr>
    </w:tbl>
    <w:p>
      <w:pPr>
        <w:spacing w:before="140" w:after="60"/>
        <w:keepNext/>
      </w:pPr>
      <w:r>
        <w:rPr>
          <w:rFonts w:ascii="Arial" w:hAnsi="Arial"/>
          <w:b/>
          <w:color w:val="000000"/>
          <w:sz w:val="22"/>
        </w:rPr>
        <w:t>AÇIKLAMALAR</w:t>
      </w:r>
    </w:p>
    <w:p>
      <w:pPr>
        <w:spacing w:after="60" w:line="247" w:lineRule="auto"/>
        <w:jc w:val="both"/>
      </w:pPr>
      <w:r>
        <w:rPr>
          <w:b/>
        </w:rPr>
        <w:t xml:space="preserve">1. </w:t>
      </w:r>
      <w:r>
        <w:rPr>
          <w:rFonts w:ascii="Arial" w:hAnsi="Arial"/>
          <w:sz w:val="20"/>
        </w:rPr>
        <w:t>Mahkemenizce atanan [uzmanlık alanı] bilirkişisi [ad soyad], [tarih] tarihli raporunu dosyaya sunmuş ve [celse tarihi] tarihli duruşmada raporun [sayfa/bölüm] kısmı hakkında sözlü açıklama yapmıştır. Açıklama tamamlanmış olmakla birlikte aynı celsede sonuçlandırılması gereken aşağıdaki teknik karşılaştırmalar henüz bitmemiştir.</w:t>
      </w:r>
    </w:p>
    <w:p>
      <w:pPr>
        <w:spacing w:after="60" w:line="247" w:lineRule="auto"/>
        <w:jc w:val="both"/>
      </w:pPr>
      <w:r>
        <w:rPr>
          <w:b/>
        </w:rPr>
        <w:t xml:space="preserve">2. </w:t>
      </w:r>
      <w:r>
        <w:rPr>
          <w:rFonts w:ascii="Arial" w:hAnsi="Arial"/>
          <w:sz w:val="20"/>
        </w:rPr>
        <w:t>5271 sayılı Ceza Muhakemesi Kanunu’nun 68/2. maddesi açık bir başlangıç kuralı kurar: Bilirkişiler yaptıkları açıklamalardan sonra, mahkeme başkanı veya hâkim çekilmelerine izin vermedikçe duruşma salonunda kalırlar. Talebimiz bilirkişiye yeni bir görev verilmesi değil; kanunda öngörülen hazır bulundurma düzeninin somut celse planında uygulanmasıdır.</w:t>
      </w:r>
    </w:p>
    <w:p>
      <w:pPr>
        <w:spacing w:after="60" w:line="247" w:lineRule="auto"/>
        <w:jc w:val="both"/>
      </w:pPr>
      <w:r>
        <w:rPr>
          <w:b/>
        </w:rPr>
        <w:t xml:space="preserve">3. </w:t>
      </w:r>
      <w:r>
        <w:rPr>
          <w:rFonts w:ascii="Arial" w:hAnsi="Arial"/>
          <w:sz w:val="20"/>
        </w:rPr>
        <w:t>Bilirkişinin salonda kalması [diğer bilirkişinin / bilimsel mütalaa uzmanının] açıklaması, [belge veya dijital kayıt] üzerindeki tartışma ve numaralı tamamlayıcı sorular sona erinceye kadar gereklidir. Teknik ihtiyaç; [rapor sayfası] ile [karşılaştırılacak belge veya görüş] arasındaki [ölçüm, tarih, hesap, yöntem veya veri kaynağı] farkıdır.</w:t>
      </w:r>
    </w:p>
    <w:p>
      <w:pPr>
        <w:spacing w:after="60" w:line="247" w:lineRule="auto"/>
        <w:jc w:val="both"/>
      </w:pPr>
      <w:r>
        <w:rPr>
          <w:b/>
        </w:rPr>
        <w:t xml:space="preserve">4. </w:t>
      </w:r>
      <w:r>
        <w:rPr>
          <w:rFonts w:ascii="Arial" w:hAnsi="Arial"/>
          <w:sz w:val="20"/>
        </w:rPr>
        <w:t>Bu istem, bilirkişinin görevden çekinmesiyle ilgili CMK m.70’e dayanmaz. CMK m.68/2’deki çekilme yalnız duruşma salonundan ayrılmayı ifade eder. Bilirkişinin rapor görevi, tarafsızlığı veya kabul yükümlülüğü bu talebin konusu değildir.</w:t>
      </w:r>
    </w:p>
    <w:p>
      <w:pPr>
        <w:spacing w:after="60" w:line="247" w:lineRule="auto"/>
        <w:jc w:val="both"/>
      </w:pPr>
      <w:r>
        <w:rPr>
          <w:b/>
        </w:rPr>
        <w:t xml:space="preserve">5. </w:t>
      </w:r>
      <w:r>
        <w:rPr>
          <w:rFonts w:ascii="Arial" w:hAnsi="Arial"/>
          <w:sz w:val="20"/>
        </w:rPr>
        <w:t>CMK m.68/2 bilirkişilerin teker teker salona alınarak birbirinden ayrı dinlenmesini zorunlu tutmaz. Bu nedenle iki teknik görüşün aynı celsede karşılaştırılması mümkündür. Karşılaştırma, bilirkişilere ortak bir sonuca ulaşma talimatı vermeden; her uzmanın yöntem, veri ve sonuç gerekçesini ayrı ayrı açıklamasıyla yapılmalıdır.</w:t>
      </w:r>
    </w:p>
    <w:p>
      <w:pPr>
        <w:spacing w:after="60" w:line="247" w:lineRule="auto"/>
        <w:jc w:val="both"/>
      </w:pPr>
      <w:r>
        <w:rPr>
          <w:b/>
        </w:rPr>
        <w:t xml:space="preserve">6. </w:t>
      </w:r>
      <w:r>
        <w:rPr>
          <w:rFonts w:ascii="Arial" w:hAnsi="Arial"/>
          <w:sz w:val="20"/>
        </w:rPr>
        <w:t>CMK m.68/3 uyarınca tarafça alınan bilimsel mütalaayı hazırlayan uzmanın duruşmada dinlenmesinde de m.68’in önceki fıkraları uygulanır. Aynı celsede bilimsel mütalaa uzmanı dinlenecekse mahkemece atanan bilirkişinin açıklama sonrasında hazır bulunması, iki görüşün farklılaştığı teknik noktaların denetlenebilir biçimde tartışılmasını sağlar.</w:t>
      </w:r>
    </w:p>
    <w:p>
      <w:pPr>
        <w:spacing w:after="60" w:line="247" w:lineRule="auto"/>
        <w:jc w:val="both"/>
      </w:pPr>
      <w:r>
        <w:rPr>
          <w:b/>
        </w:rPr>
        <w:t xml:space="preserve">7. </w:t>
      </w:r>
      <w:r>
        <w:rPr>
          <w:rFonts w:ascii="Arial" w:hAnsi="Arial"/>
          <w:sz w:val="20"/>
        </w:rPr>
        <w:t>CMK m.201 uyarınca Cumhuriyet savcısı, müdafi ve vekil bilirkişiye doğrudan soru yöneltebilir; sanık ve katılan sorularını mahkeme başkanı veya hâkim aracılığıyla sorar. Ek-2’deki sorular her biri tek teknik veri veya yöntemle sınırlı tutulmuş; suçun hukuki niteliği, kast, hukuka uygunluk veya hüküm sonucu hakkında değerlendirme istenmemiştir.</w:t>
      </w:r>
    </w:p>
    <w:p>
      <w:pPr>
        <w:spacing w:after="60" w:line="247" w:lineRule="auto"/>
        <w:jc w:val="both"/>
      </w:pPr>
      <w:r>
        <w:rPr>
          <w:b/>
        </w:rPr>
        <w:t xml:space="preserve">8. </w:t>
      </w:r>
      <w:r>
        <w:rPr>
          <w:rFonts w:ascii="Arial" w:hAnsi="Arial"/>
          <w:sz w:val="20"/>
        </w:rPr>
        <w:t>Bilirkişinin hazır tutulacağı süre sınırsız değildir. Talep, [belirli belgenin okunması / diğer uzmanın dinlenmesi / Ek-2’deki soruların tamamlanması] aşamasının sonuna kadardır. Bu işlem tamamlandığında çekilme izni konusunda mahkemenin takdir yetkisi devam eder.</w:t>
      </w:r>
    </w:p>
    <w:p>
      <w:pPr>
        <w:spacing w:after="60" w:line="247" w:lineRule="auto"/>
        <w:jc w:val="both"/>
      </w:pPr>
      <w:r>
        <w:rPr>
          <w:b/>
        </w:rPr>
        <w:t xml:space="preserve">9. </w:t>
      </w:r>
      <w:r>
        <w:rPr>
          <w:rFonts w:ascii="Arial" w:hAnsi="Arial"/>
          <w:sz w:val="20"/>
        </w:rPr>
        <w:t>Talebin kabulü veya reddi ile bilirkişinin hangi aşamaya kadar hazır tutulduğu duruşma tutanağına yazılmalıdır. CMK m.219 duruşma tutanağının düzenlenmesini; m.221 ise yargılama usulünün temel unsurlarının, istemlerin ve kararların tutanakta gösterilmesini düzenler.</w:t>
      </w:r>
    </w:p>
    <w:p>
      <w:pPr>
        <w:spacing w:after="60" w:line="247" w:lineRule="auto"/>
        <w:jc w:val="both"/>
      </w:pPr>
      <w:r>
        <w:rPr>
          <w:b/>
        </w:rPr>
        <w:t xml:space="preserve">10. </w:t>
      </w:r>
      <w:r>
        <w:rPr>
          <w:rFonts w:ascii="Arial" w:hAnsi="Arial"/>
          <w:sz w:val="20"/>
        </w:rPr>
        <w:t>Bilirkişi yeniden açıklama yaparsa soru ve cevap teknik anlamı korunarak tutanağa geçirilmelidir. Talep, raporu değiştirmeye veya bilirkişiyi belirli sonuca yönlendirmeye değil; duruşmada ortaya çıkan teknik çelişkinin aynı celsede ve tarafların soru hakkı korunarak aydınlatılmasına yöneliktir.</w:t>
      </w:r>
    </w:p>
    <w:p>
      <w:r>
        <w:br w:type="page"/>
      </w:r>
    </w:p>
    <w:p>
      <w:pPr>
        <w:spacing w:before="140" w:after="60"/>
        <w:keepNext/>
      </w:pPr>
      <w:r>
        <w:rPr>
          <w:rFonts w:ascii="Arial" w:hAnsi="Arial"/>
          <w:b/>
          <w:color w:val="000000"/>
          <w:sz w:val="22"/>
        </w:rPr>
        <w:t>CELSE İŞLEM PLANI</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2613"/>
        <w:gridCol w:w="2613"/>
        <w:gridCol w:w="2613"/>
        <w:gridCol w:w="2613"/>
      </w:tblGrid>
      <w:tr>
        <w:trPr>
          <w:tblHeader w:val="true"/>
        </w:trPr>
        <w:tc>
          <w:tcPr>
            <w:tcW w:type="dxa" w:w="792"/>
            <w:vAlign w:val="center"/>
            <w:tcMar>
              <w:top w:w="90" w:type="dxa"/>
              <w:start w:w="110" w:type="dxa"/>
              <w:bottom w:w="90" w:type="dxa"/>
              <w:end w:w="110" w:type="dxa"/>
            </w:tcMar>
            <w:shd w:fill="D9EAF7"/>
          </w:tcPr>
          <w:p>
            <w:pPr>
              <w:spacing w:after="0" w:line="240" w:lineRule="auto"/>
            </w:pPr>
            <w:r>
              <w:rPr>
                <w:rFonts w:ascii="Arial" w:hAnsi="Arial"/>
                <w:b/>
                <w:sz w:val="18"/>
              </w:rPr>
              <w:t>Sıra</w:t>
            </w:r>
          </w:p>
        </w:tc>
        <w:tc>
          <w:tcPr>
            <w:tcW w:type="dxa" w:w="2232"/>
            <w:vAlign w:val="center"/>
            <w:tcMar>
              <w:top w:w="90" w:type="dxa"/>
              <w:start w:w="110" w:type="dxa"/>
              <w:bottom w:w="90" w:type="dxa"/>
              <w:end w:w="110" w:type="dxa"/>
            </w:tcMar>
            <w:shd w:fill="D9EAF7"/>
          </w:tcPr>
          <w:p>
            <w:pPr>
              <w:spacing w:after="0" w:line="240" w:lineRule="auto"/>
            </w:pPr>
            <w:r>
              <w:rPr>
                <w:rFonts w:ascii="Arial" w:hAnsi="Arial"/>
                <w:b/>
                <w:sz w:val="18"/>
              </w:rPr>
              <w:t>İşlem</w:t>
            </w:r>
          </w:p>
        </w:tc>
        <w:tc>
          <w:tcPr>
            <w:tcW w:type="dxa" w:w="3096"/>
            <w:vAlign w:val="center"/>
            <w:tcMar>
              <w:top w:w="90" w:type="dxa"/>
              <w:start w:w="110" w:type="dxa"/>
              <w:bottom w:w="90" w:type="dxa"/>
              <w:end w:w="110" w:type="dxa"/>
            </w:tcMar>
            <w:shd w:fill="D9EAF7"/>
          </w:tcPr>
          <w:p>
            <w:pPr>
              <w:spacing w:after="0" w:line="240" w:lineRule="auto"/>
            </w:pPr>
            <w:r>
              <w:rPr>
                <w:rFonts w:ascii="Arial" w:hAnsi="Arial"/>
                <w:b/>
                <w:sz w:val="18"/>
              </w:rPr>
              <w:t>Somut kayıt</w:t>
            </w:r>
          </w:p>
        </w:tc>
        <w:tc>
          <w:tcPr>
            <w:tcW w:type="dxa" w:w="3960"/>
            <w:vAlign w:val="center"/>
            <w:tcMar>
              <w:top w:w="90" w:type="dxa"/>
              <w:start w:w="110" w:type="dxa"/>
              <w:bottom w:w="90" w:type="dxa"/>
              <w:end w:w="110" w:type="dxa"/>
            </w:tcMar>
            <w:shd w:fill="D9EAF7"/>
          </w:tcPr>
          <w:p>
            <w:pPr>
              <w:spacing w:after="0" w:line="240" w:lineRule="auto"/>
            </w:pPr>
            <w:r>
              <w:rPr>
                <w:rFonts w:ascii="Arial" w:hAnsi="Arial"/>
                <w:b/>
                <w:sz w:val="18"/>
              </w:rPr>
              <w:t>Bilirkişinin hazır bulunma nedeni</w:t>
            </w:r>
          </w:p>
        </w:tc>
      </w:tr>
      <w:tr>
        <w:tc>
          <w:tcPr>
            <w:tcW w:type="dxa" w:w="792"/>
            <w:vAlign w:val="center"/>
            <w:tcMar>
              <w:top w:w="90" w:type="dxa"/>
              <w:start w:w="110" w:type="dxa"/>
              <w:bottom w:w="90" w:type="dxa"/>
              <w:end w:w="110" w:type="dxa"/>
            </w:tcMar>
          </w:tcPr>
          <w:p>
            <w:pPr>
              <w:spacing w:after="0" w:line="240" w:lineRule="auto"/>
            </w:pPr>
            <w:r>
              <w:rPr>
                <w:rFonts w:ascii="Arial" w:hAnsi="Arial"/>
                <w:sz w:val="18"/>
              </w:rPr>
              <w:t>1</w:t>
            </w:r>
          </w:p>
        </w:tc>
        <w:tc>
          <w:tcPr>
            <w:tcW w:type="dxa" w:w="2232"/>
            <w:vAlign w:val="center"/>
            <w:tcMar>
              <w:top w:w="90" w:type="dxa"/>
              <w:start w:w="110" w:type="dxa"/>
              <w:bottom w:w="90" w:type="dxa"/>
              <w:end w:w="110" w:type="dxa"/>
            </w:tcMar>
          </w:tcPr>
          <w:p>
            <w:pPr>
              <w:spacing w:after="0" w:line="240" w:lineRule="auto"/>
            </w:pPr>
            <w:r>
              <w:rPr>
                <w:rFonts w:ascii="Arial" w:hAnsi="Arial"/>
                <w:sz w:val="18"/>
              </w:rPr>
              <w:t>İlk sözlü açıklama</w:t>
            </w:r>
          </w:p>
        </w:tc>
        <w:tc>
          <w:tcPr>
            <w:tcW w:type="dxa" w:w="3096"/>
            <w:vAlign w:val="center"/>
            <w:tcMar>
              <w:top w:w="90" w:type="dxa"/>
              <w:start w:w="110" w:type="dxa"/>
              <w:bottom w:w="90" w:type="dxa"/>
              <w:end w:w="110" w:type="dxa"/>
            </w:tcMar>
          </w:tcPr>
          <w:p>
            <w:pPr>
              <w:spacing w:after="0" w:line="240" w:lineRule="auto"/>
            </w:pPr>
            <w:r>
              <w:rPr>
                <w:rFonts w:ascii="Arial" w:hAnsi="Arial"/>
                <w:sz w:val="18"/>
              </w:rPr>
              <w:t>[Rapor sayfası ve soru]</w:t>
            </w:r>
          </w:p>
        </w:tc>
        <w:tc>
          <w:tcPr>
            <w:tcW w:type="dxa" w:w="3960"/>
            <w:vAlign w:val="center"/>
            <w:tcMar>
              <w:top w:w="90" w:type="dxa"/>
              <w:start w:w="110" w:type="dxa"/>
              <w:bottom w:w="90" w:type="dxa"/>
              <w:end w:w="110" w:type="dxa"/>
            </w:tcMar>
          </w:tcPr>
          <w:p>
            <w:pPr>
              <w:spacing w:after="0" w:line="240" w:lineRule="auto"/>
            </w:pPr>
            <w:r>
              <w:rPr>
                <w:rFonts w:ascii="Arial" w:hAnsi="Arial"/>
                <w:sz w:val="18"/>
              </w:rPr>
              <w:t>Açıklama başlangıcı</w:t>
            </w:r>
          </w:p>
        </w:tc>
      </w:tr>
      <w:tr>
        <w:tc>
          <w:tcPr>
            <w:tcW w:type="dxa" w:w="792"/>
            <w:vAlign w:val="center"/>
            <w:tcMar>
              <w:top w:w="90" w:type="dxa"/>
              <w:start w:w="110" w:type="dxa"/>
              <w:bottom w:w="90" w:type="dxa"/>
              <w:end w:w="110" w:type="dxa"/>
            </w:tcMar>
            <w:shd w:fill="F6F9FC"/>
          </w:tcPr>
          <w:p>
            <w:pPr>
              <w:spacing w:after="0" w:line="240" w:lineRule="auto"/>
            </w:pPr>
            <w:r>
              <w:rPr>
                <w:rFonts w:ascii="Arial" w:hAnsi="Arial"/>
                <w:sz w:val="18"/>
              </w:rPr>
              <w:t>2</w:t>
            </w:r>
          </w:p>
        </w:tc>
        <w:tc>
          <w:tcPr>
            <w:tcW w:type="dxa" w:w="2232"/>
            <w:vAlign w:val="center"/>
            <w:tcMar>
              <w:top w:w="90" w:type="dxa"/>
              <w:start w:w="110" w:type="dxa"/>
              <w:bottom w:w="90" w:type="dxa"/>
              <w:end w:w="110" w:type="dxa"/>
            </w:tcMar>
            <w:shd w:fill="F6F9FC"/>
          </w:tcPr>
          <w:p>
            <w:pPr>
              <w:spacing w:after="0" w:line="240" w:lineRule="auto"/>
            </w:pPr>
            <w:r>
              <w:rPr>
                <w:rFonts w:ascii="Arial" w:hAnsi="Arial"/>
                <w:sz w:val="18"/>
              </w:rPr>
              <w:t>Belge veya kayıt tartışması</w:t>
            </w:r>
          </w:p>
        </w:tc>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[Evrak tarihi / numarası]</w:t>
            </w:r>
          </w:p>
        </w:tc>
        <w:tc>
          <w:tcPr>
            <w:tcW w:type="dxa" w:w="3960"/>
            <w:vAlign w:val="center"/>
            <w:tcMar>
              <w:top w:w="90" w:type="dxa"/>
              <w:start w:w="110" w:type="dxa"/>
              <w:bottom w:w="90" w:type="dxa"/>
              <w:end w:w="110" w:type="dxa"/>
            </w:tcMar>
            <w:shd w:fill="F6F9FC"/>
          </w:tcPr>
          <w:p>
            <w:pPr>
              <w:spacing w:after="0" w:line="240" w:lineRule="auto"/>
            </w:pPr>
            <w:r>
              <w:rPr>
                <w:rFonts w:ascii="Arial" w:hAnsi="Arial"/>
                <w:sz w:val="18"/>
              </w:rPr>
              <w:t>Veri kaynağını açıklama</w:t>
            </w:r>
          </w:p>
        </w:tc>
      </w:tr>
      <w:tr>
        <w:tc>
          <w:tcPr>
            <w:tcW w:type="dxa" w:w="792"/>
            <w:vAlign w:val="center"/>
            <w:tcMar>
              <w:top w:w="90" w:type="dxa"/>
              <w:start w:w="110" w:type="dxa"/>
              <w:bottom w:w="90" w:type="dxa"/>
              <w:end w:w="110" w:type="dxa"/>
            </w:tcMar>
          </w:tcPr>
          <w:p>
            <w:pPr>
              <w:spacing w:after="0" w:line="240" w:lineRule="auto"/>
            </w:pPr>
            <w:r>
              <w:rPr>
                <w:rFonts w:ascii="Arial" w:hAnsi="Arial"/>
                <w:sz w:val="18"/>
              </w:rPr>
              <w:t>3</w:t>
            </w:r>
          </w:p>
        </w:tc>
        <w:tc>
          <w:tcPr>
            <w:tcW w:type="dxa" w:w="2232"/>
            <w:vAlign w:val="center"/>
            <w:tcMar>
              <w:top w:w="90" w:type="dxa"/>
              <w:start w:w="110" w:type="dxa"/>
              <w:bottom w:w="90" w:type="dxa"/>
              <w:end w:w="110" w:type="dxa"/>
            </w:tcMar>
          </w:tcPr>
          <w:p>
            <w:pPr>
              <w:spacing w:after="0" w:line="240" w:lineRule="auto"/>
            </w:pPr>
            <w:r>
              <w:rPr>
                <w:rFonts w:ascii="Arial" w:hAnsi="Arial"/>
                <w:sz w:val="18"/>
              </w:rPr>
              <w:t>Diğer uzman açıklaması</w:t>
            </w:r>
          </w:p>
        </w:tc>
        <w:tc>
          <w:tcPr>
            <w:tcW w:type="dxa" w:w="3096"/>
            <w:vAlign w:val="center"/>
            <w:tcMar>
              <w:top w:w="90" w:type="dxa"/>
              <w:start w:w="110" w:type="dxa"/>
              <w:bottom w:w="90" w:type="dxa"/>
              <w:end w:w="110" w:type="dxa"/>
            </w:tcMar>
          </w:tcPr>
          <w:p>
            <w:pPr>
              <w:spacing w:after="0" w:line="240" w:lineRule="auto"/>
            </w:pPr>
            <w:r>
              <w:rPr>
                <w:rFonts w:ascii="Arial" w:hAnsi="Arial"/>
                <w:sz w:val="18"/>
              </w:rPr>
              <w:t>[Uzman ve mütalaa tarihi]</w:t>
            </w:r>
          </w:p>
        </w:tc>
        <w:tc>
          <w:tcPr>
            <w:tcW w:type="dxa" w:w="3960"/>
            <w:vAlign w:val="center"/>
            <w:tcMar>
              <w:top w:w="90" w:type="dxa"/>
              <w:start w:w="110" w:type="dxa"/>
              <w:bottom w:w="90" w:type="dxa"/>
              <w:end w:w="110" w:type="dxa"/>
            </w:tcMar>
          </w:tcPr>
          <w:p>
            <w:pPr>
              <w:spacing w:after="0" w:line="240" w:lineRule="auto"/>
            </w:pPr>
            <w:r>
              <w:rPr>
                <w:rFonts w:ascii="Arial" w:hAnsi="Arial"/>
                <w:sz w:val="18"/>
              </w:rPr>
              <w:t>Yöntem farkını karşılaştırma</w:t>
            </w:r>
          </w:p>
        </w:tc>
      </w:tr>
      <w:tr>
        <w:tc>
          <w:tcPr>
            <w:tcW w:type="dxa" w:w="792"/>
            <w:vAlign w:val="center"/>
            <w:tcMar>
              <w:top w:w="90" w:type="dxa"/>
              <w:start w:w="110" w:type="dxa"/>
              <w:bottom w:w="90" w:type="dxa"/>
              <w:end w:w="110" w:type="dxa"/>
            </w:tcMar>
            <w:shd w:fill="F6F9FC"/>
          </w:tcPr>
          <w:p>
            <w:pPr>
              <w:spacing w:after="0" w:line="240" w:lineRule="auto"/>
            </w:pPr>
            <w:r>
              <w:rPr>
                <w:rFonts w:ascii="Arial" w:hAnsi="Arial"/>
                <w:sz w:val="18"/>
              </w:rPr>
              <w:t>4</w:t>
            </w:r>
          </w:p>
        </w:tc>
        <w:tc>
          <w:tcPr>
            <w:tcW w:type="dxa" w:w="2232"/>
            <w:vAlign w:val="center"/>
            <w:tcMar>
              <w:top w:w="90" w:type="dxa"/>
              <w:start w:w="110" w:type="dxa"/>
              <w:bottom w:w="90" w:type="dxa"/>
              <w:end w:w="110" w:type="dxa"/>
            </w:tcMar>
            <w:shd w:fill="F6F9FC"/>
          </w:tcPr>
          <w:p>
            <w:pPr>
              <w:spacing w:after="0" w:line="240" w:lineRule="auto"/>
            </w:pPr>
            <w:r>
              <w:rPr>
                <w:rFonts w:ascii="Arial" w:hAnsi="Arial"/>
                <w:sz w:val="18"/>
              </w:rPr>
              <w:t>Tamamlayıcı sorular</w:t>
            </w:r>
          </w:p>
        </w:tc>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[Ek-2 soru numaraları]</w:t>
            </w:r>
          </w:p>
        </w:tc>
        <w:tc>
          <w:tcPr>
            <w:tcW w:type="dxa" w:w="3960"/>
            <w:vAlign w:val="center"/>
            <w:tcMar>
              <w:top w:w="90" w:type="dxa"/>
              <w:start w:w="110" w:type="dxa"/>
              <w:bottom w:w="90" w:type="dxa"/>
              <w:end w:w="110" w:type="dxa"/>
            </w:tcMar>
            <w:shd w:fill="F6F9FC"/>
          </w:tcPr>
          <w:p>
            <w:pPr>
              <w:spacing w:after="0" w:line="240" w:lineRule="auto"/>
            </w:pPr>
            <w:r>
              <w:rPr>
                <w:rFonts w:ascii="Arial" w:hAnsi="Arial"/>
                <w:sz w:val="18"/>
              </w:rPr>
              <w:t>Teknik cevap verme</w:t>
            </w:r>
          </w:p>
        </w:tc>
      </w:tr>
      <w:tr>
        <w:tc>
          <w:tcPr>
            <w:tcW w:type="dxa" w:w="792"/>
            <w:vAlign w:val="center"/>
            <w:tcMar>
              <w:top w:w="90" w:type="dxa"/>
              <w:start w:w="110" w:type="dxa"/>
              <w:bottom w:w="90" w:type="dxa"/>
              <w:end w:w="110" w:type="dxa"/>
            </w:tcMar>
          </w:tcPr>
          <w:p>
            <w:pPr>
              <w:spacing w:after="0" w:line="240" w:lineRule="auto"/>
            </w:pPr>
            <w:r>
              <w:rPr>
                <w:rFonts w:ascii="Arial" w:hAnsi="Arial"/>
                <w:sz w:val="18"/>
              </w:rPr>
              <w:t>5</w:t>
            </w:r>
          </w:p>
        </w:tc>
        <w:tc>
          <w:tcPr>
            <w:tcW w:type="dxa" w:w="2232"/>
            <w:vAlign w:val="center"/>
            <w:tcMar>
              <w:top w:w="90" w:type="dxa"/>
              <w:start w:w="110" w:type="dxa"/>
              <w:bottom w:w="90" w:type="dxa"/>
              <w:end w:w="110" w:type="dxa"/>
            </w:tcMar>
          </w:tcPr>
          <w:p>
            <w:pPr>
              <w:spacing w:after="0" w:line="240" w:lineRule="auto"/>
            </w:pPr>
            <w:r>
              <w:rPr>
                <w:rFonts w:ascii="Arial" w:hAnsi="Arial"/>
                <w:sz w:val="18"/>
              </w:rPr>
              <w:t>Çekilme izni</w:t>
            </w:r>
          </w:p>
        </w:tc>
        <w:tc>
          <w:tcPr>
            <w:tcW w:type="dxa" w:w="3096"/>
            <w:vAlign w:val="center"/>
            <w:tcMar>
              <w:top w:w="90" w:type="dxa"/>
              <w:start w:w="110" w:type="dxa"/>
              <w:bottom w:w="90" w:type="dxa"/>
              <w:end w:w="110" w:type="dxa"/>
            </w:tcMar>
          </w:tcPr>
          <w:p>
            <w:pPr>
              <w:spacing w:after="0" w:line="240" w:lineRule="auto"/>
            </w:pPr>
            <w:r>
              <w:rPr>
                <w:rFonts w:ascii="Arial" w:hAnsi="Arial"/>
                <w:sz w:val="18"/>
              </w:rPr>
              <w:t>[İşlem tamamlanma anı]</w:t>
            </w:r>
          </w:p>
        </w:tc>
        <w:tc>
          <w:tcPr>
            <w:tcW w:type="dxa" w:w="3960"/>
            <w:vAlign w:val="center"/>
            <w:tcMar>
              <w:top w:w="90" w:type="dxa"/>
              <w:start w:w="110" w:type="dxa"/>
              <w:bottom w:w="90" w:type="dxa"/>
              <w:end w:w="110" w:type="dxa"/>
            </w:tcMar>
          </w:tcPr>
          <w:p>
            <w:pPr>
              <w:spacing w:after="0" w:line="240" w:lineRule="auto"/>
            </w:pPr>
            <w:r>
              <w:rPr>
                <w:rFonts w:ascii="Arial" w:hAnsi="Arial"/>
                <w:sz w:val="18"/>
              </w:rPr>
              <w:t>Mahkemece açık karar</w:t>
            </w:r>
          </w:p>
        </w:tc>
      </w:tr>
    </w:tbl>
    <w:p>
      <w:pPr>
        <w:spacing w:before="140" w:after="60"/>
        <w:keepNext/>
      </w:pPr>
      <w:r>
        <w:rPr>
          <w:rFonts w:ascii="Arial" w:hAnsi="Arial"/>
          <w:b/>
          <w:color w:val="000000"/>
          <w:sz w:val="22"/>
        </w:rPr>
        <w:t>TAMAMLAYICI SORU LİSTESİ</w:t>
      </w:r>
    </w:p>
    <w:p>
      <w:pPr>
        <w:pStyle w:val="ListBullet"/>
        <w:spacing w:after="30"/>
        <w:ind w:left="317" w:hanging="187"/>
      </w:pPr>
      <w:r>
        <w:rPr>
          <w:rFonts w:ascii="Arial" w:hAnsi="Arial"/>
          <w:sz w:val="20"/>
        </w:rPr>
        <w:t>Raporda [sayfa] üzerinde kullanılan [ölçüm / hesap] verisinin kaynağı ve doğrulama yöntemi nedir?</w:t>
      </w:r>
    </w:p>
    <w:p>
      <w:pPr>
        <w:pStyle w:val="ListBullet"/>
        <w:spacing w:after="30"/>
        <w:ind w:left="317" w:hanging="187"/>
      </w:pPr>
      <w:r>
        <w:rPr>
          <w:rFonts w:ascii="Arial" w:hAnsi="Arial"/>
          <w:sz w:val="20"/>
        </w:rPr>
        <w:t>[Belge] ile rapordaki [bulgu] arasındaki fark teknik olarak hangi nedenden doğmaktadır?</w:t>
      </w:r>
    </w:p>
    <w:p>
      <w:pPr>
        <w:pStyle w:val="ListBullet"/>
        <w:spacing w:after="30"/>
        <w:ind w:left="317" w:hanging="187"/>
      </w:pPr>
      <w:r>
        <w:rPr>
          <w:rFonts w:ascii="Arial" w:hAnsi="Arial"/>
          <w:sz w:val="20"/>
        </w:rPr>
        <w:t>Diğer uzman tarafından açıklanan [yöntem] aynı ham veri setine uygulandığında sonuç nasıl değişmektedir?</w:t>
      </w:r>
    </w:p>
    <w:p>
      <w:pPr>
        <w:pStyle w:val="ListBullet"/>
        <w:spacing w:after="30"/>
        <w:ind w:left="317" w:hanging="187"/>
      </w:pPr>
      <w:r>
        <w:rPr>
          <w:rFonts w:ascii="Arial" w:hAnsi="Arial"/>
          <w:sz w:val="20"/>
        </w:rPr>
        <w:t>İnceleme materyalinin bütünlüğü [hash / seri numarası / mühür / teslim kaydı] üzerinden doğrulanmış mıdır?</w:t>
      </w:r>
    </w:p>
    <w:p>
      <w:pPr>
        <w:pStyle w:val="ListBullet"/>
        <w:spacing w:after="30"/>
        <w:ind w:left="317" w:hanging="187"/>
      </w:pPr>
      <w:r>
        <w:rPr>
          <w:rFonts w:ascii="Arial" w:hAnsi="Arial"/>
          <w:sz w:val="20"/>
        </w:rPr>
        <w:t>Belirtilen teknik fark raporun hangi sonucunu etkiler; hangi sonucu etkilemez?</w:t>
      </w:r>
    </w:p>
    <w:p>
      <w:pPr>
        <w:spacing w:before="140" w:after="60"/>
        <w:keepNext/>
      </w:pPr>
      <w:r>
        <w:rPr>
          <w:rFonts w:ascii="Arial" w:hAnsi="Arial"/>
          <w:b/>
          <w:color w:val="000000"/>
          <w:sz w:val="22"/>
        </w:rPr>
        <w:t>HUKUKİ NEDENLER</w:t>
      </w:r>
    </w:p>
    <w:p>
      <w:pPr>
        <w:spacing w:after="60" w:line="247" w:lineRule="auto"/>
        <w:jc w:val="both"/>
      </w:pPr>
      <w:r>
        <w:rPr>
          <w:rFonts w:ascii="Arial" w:hAnsi="Arial"/>
          <w:sz w:val="20"/>
        </w:rPr>
        <w:t>5271 sayılı Ceza Muhakemesi Kanunu m.63, 67/3, 68, 201, 219, 221 ve 222; Bilirkişilik Yönetmeliği m.55 ve 56 ile ilgili mevzuat.</w:t>
      </w:r>
    </w:p>
    <w:p>
      <w:pPr>
        <w:spacing w:before="140" w:after="60"/>
        <w:keepNext/>
      </w:pPr>
      <w:r>
        <w:rPr>
          <w:rFonts w:ascii="Arial" w:hAnsi="Arial"/>
          <w:b/>
          <w:color w:val="000000"/>
          <w:sz w:val="22"/>
        </w:rPr>
        <w:t>DELİLLER</w:t>
      </w:r>
    </w:p>
    <w:p>
      <w:pPr>
        <w:spacing w:after="60" w:line="247" w:lineRule="auto"/>
        <w:jc w:val="both"/>
      </w:pPr>
      <w:r>
        <w:rPr>
          <w:rFonts w:ascii="Arial" w:hAnsi="Arial"/>
          <w:sz w:val="20"/>
        </w:rPr>
        <w:t>Bilirkişi görevlendirme kararı, bilirkişi raporu ve ekleri, celse zaptı, bilimsel mütalaa varsa aslı, karşılaştırılacak belge veya dijital kayıt, numaralı soru listesi ve UYAP işlem kayıtları.</w:t>
      </w:r>
    </w:p>
    <w:p>
      <w:pPr>
        <w:spacing w:before="140" w:after="60"/>
        <w:keepNext/>
      </w:pPr>
      <w:r>
        <w:rPr>
          <w:rFonts w:ascii="Arial" w:hAnsi="Arial"/>
          <w:b/>
          <w:color w:val="000000"/>
          <w:sz w:val="22"/>
        </w:rPr>
        <w:t>SONUÇ VE İSTEM</w:t>
      </w:r>
    </w:p>
    <w:p>
      <w:pPr>
        <w:spacing w:after="60" w:line="247" w:lineRule="auto"/>
        <w:jc w:val="both"/>
      </w:pPr>
      <w:r>
        <w:rPr>
          <w:b/>
        </w:rPr>
        <w:t xml:space="preserve">1. </w:t>
      </w:r>
      <w:r>
        <w:rPr>
          <w:rFonts w:ascii="Arial" w:hAnsi="Arial"/>
          <w:sz w:val="20"/>
        </w:rPr>
        <w:t>[Bilirkişi adı] tarafından yapılan ilk açıklamadan sonra, Ek-1’de belirtilen teknik işlemler tamamlanıncaya kadar bilirkişinin CMK m.68/2 uyarınca duruşma salonundan çekilmesine izin verilmemesine,</w:t>
      </w:r>
    </w:p>
    <w:p>
      <w:pPr>
        <w:spacing w:after="60" w:line="247" w:lineRule="auto"/>
        <w:jc w:val="both"/>
      </w:pPr>
      <w:r>
        <w:rPr>
          <w:b/>
        </w:rPr>
        <w:t xml:space="preserve">2. </w:t>
      </w:r>
      <w:r>
        <w:rPr>
          <w:rFonts w:ascii="Arial" w:hAnsi="Arial"/>
          <w:sz w:val="20"/>
        </w:rPr>
        <w:t>[Diğer bilirkişi / bilimsel mütalaa uzmanı] dinlenirken ve [belge veya kayıt] tartışılırken bilirkişinin salonda hazır tutulmasına,</w:t>
      </w:r>
    </w:p>
    <w:p>
      <w:pPr>
        <w:spacing w:after="60" w:line="247" w:lineRule="auto"/>
        <w:jc w:val="both"/>
      </w:pPr>
      <w:r>
        <w:rPr>
          <w:b/>
        </w:rPr>
        <w:t xml:space="preserve">3. </w:t>
      </w:r>
      <w:r>
        <w:rPr>
          <w:rFonts w:ascii="Arial" w:hAnsi="Arial"/>
          <w:sz w:val="20"/>
        </w:rPr>
        <w:t>Ek-2’deki teknik soruların CMK m.201’deki soru yöneltme usulüne göre bilirkişiye sorulmasına,</w:t>
      </w:r>
    </w:p>
    <w:p>
      <w:pPr>
        <w:spacing w:after="60" w:line="247" w:lineRule="auto"/>
        <w:jc w:val="both"/>
      </w:pPr>
      <w:r>
        <w:rPr>
          <w:b/>
        </w:rPr>
        <w:t xml:space="preserve">4. </w:t>
      </w:r>
      <w:r>
        <w:rPr>
          <w:rFonts w:ascii="Arial" w:hAnsi="Arial"/>
          <w:sz w:val="20"/>
        </w:rPr>
        <w:t>Talep hakkında verilen kararın, hazır bulunma süresinin ve bilirkişinin tamamlayıcı açıklamalarının CMK m.219 ve 221’e uygun biçimde duruşma tutanağına geçirilmesine,</w:t>
      </w:r>
    </w:p>
    <w:p>
      <w:pPr>
        <w:spacing w:after="60" w:line="247" w:lineRule="auto"/>
        <w:jc w:val="both"/>
      </w:pPr>
      <w:r>
        <w:rPr>
          <w:b/>
        </w:rPr>
        <w:t xml:space="preserve">5. </w:t>
      </w:r>
      <w:r>
        <w:rPr>
          <w:rFonts w:ascii="Arial" w:hAnsi="Arial"/>
          <w:sz w:val="20"/>
        </w:rPr>
        <w:t>Belirtilen teknik işlemler tamamlandıktan sonra çekilme izni konusunda ayrıca karar verilmesine karar verilmesini saygıyla arz ederim.</w:t>
      </w:r>
    </w:p>
    <w:p>
      <w:pPr>
        <w:spacing w:before="160"/>
        <w:jc w:val="right"/>
      </w:pPr>
      <w:r>
        <w:rPr>
          <w:rFonts w:ascii="Arial" w:hAnsi="Arial"/>
          <w:b/>
          <w:sz w:val="20"/>
        </w:rPr>
        <w:t>03.10.2026</w:t>
        <w:br/>
        <w:t>Talepte Bulunan</w:t>
        <w:br/>
        <w:t>Ad Soyad</w:t>
        <w:br/>
        <w:t>(E-İMZALIDIR)</w:t>
      </w:r>
    </w:p>
    <w:p>
      <w:pPr>
        <w:spacing w:before="140" w:after="60"/>
        <w:keepNext/>
      </w:pPr>
      <w:r>
        <w:rPr>
          <w:rFonts w:ascii="Arial" w:hAnsi="Arial"/>
          <w:b/>
          <w:color w:val="000000"/>
          <w:sz w:val="22"/>
        </w:rPr>
        <w:t>EKLER</w:t>
      </w:r>
    </w:p>
    <w:p>
      <w:pPr>
        <w:pStyle w:val="ListBullet"/>
        <w:spacing w:after="30"/>
        <w:ind w:left="317" w:hanging="187"/>
      </w:pPr>
      <w:r>
        <w:rPr>
          <w:rFonts w:ascii="Arial" w:hAnsi="Arial"/>
          <w:sz w:val="20"/>
        </w:rPr>
        <w:t>Celse işlem planı ve teknik karşılaştırma çizelgesi</w:t>
      </w:r>
    </w:p>
    <w:p>
      <w:pPr>
        <w:pStyle w:val="ListBullet"/>
        <w:spacing w:after="30"/>
        <w:ind w:left="317" w:hanging="187"/>
      </w:pPr>
      <w:r>
        <w:rPr>
          <w:rFonts w:ascii="Arial" w:hAnsi="Arial"/>
          <w:sz w:val="20"/>
        </w:rPr>
        <w:t>Numaralı tamamlayıcı soru listesi</w:t>
      </w:r>
    </w:p>
    <w:p>
      <w:pPr>
        <w:pStyle w:val="ListBullet"/>
        <w:spacing w:after="30"/>
        <w:ind w:left="317" w:hanging="187"/>
      </w:pPr>
      <w:r>
        <w:rPr>
          <w:rFonts w:ascii="Arial" w:hAnsi="Arial"/>
          <w:sz w:val="20"/>
        </w:rPr>
        <w:t>Bilirkişi raporunun ilgili sayfaları</w:t>
      </w:r>
    </w:p>
    <w:p>
      <w:pPr>
        <w:pStyle w:val="ListBullet"/>
        <w:spacing w:after="30"/>
        <w:ind w:left="317" w:hanging="187"/>
      </w:pPr>
      <w:r>
        <w:rPr>
          <w:rFonts w:ascii="Arial" w:hAnsi="Arial"/>
          <w:sz w:val="20"/>
        </w:rPr>
        <w:t>Karşılaştırılacak belge, kayıt veya bilimsel mütalaa</w:t>
      </w:r>
    </w:p>
    <w:p>
      <w:pPr>
        <w:spacing w:before="140" w:after="60"/>
        <w:keepNext/>
      </w:pPr>
      <w:r>
        <w:rPr>
          <w:rFonts w:ascii="Arial" w:hAnsi="Arial"/>
          <w:b/>
          <w:color w:val="000000"/>
          <w:sz w:val="22"/>
        </w:rPr>
        <w:t>DOLDURMA VE SUNUM KONTROLÜ</w:t>
      </w:r>
    </w:p>
    <w:p>
      <w:pPr>
        <w:pStyle w:val="ListBullet"/>
        <w:spacing w:after="30"/>
        <w:ind w:left="317" w:hanging="187"/>
      </w:pPr>
      <w:r>
        <w:rPr>
          <w:rFonts w:ascii="Arial" w:hAnsi="Arial"/>
          <w:sz w:val="20"/>
        </w:rPr>
        <w:t>□ Mahkeme, esas numarası, bilirkişi ve rapor bilgileri dolduruldu.</w:t>
      </w:r>
    </w:p>
    <w:p>
      <w:pPr>
        <w:pStyle w:val="ListBullet"/>
        <w:spacing w:after="30"/>
        <w:ind w:left="317" w:hanging="187"/>
      </w:pPr>
      <w:r>
        <w:rPr>
          <w:rFonts w:ascii="Arial" w:hAnsi="Arial"/>
          <w:sz w:val="20"/>
        </w:rPr>
        <w:t>□ Salonda kalma ihtiyacı belirli işlem ve süreyle sınırlandı.</w:t>
      </w:r>
    </w:p>
    <w:p>
      <w:pPr>
        <w:pStyle w:val="ListBullet"/>
        <w:spacing w:after="30"/>
        <w:ind w:left="317" w:hanging="187"/>
      </w:pPr>
      <w:r>
        <w:rPr>
          <w:rFonts w:ascii="Arial" w:hAnsi="Arial"/>
          <w:sz w:val="20"/>
        </w:rPr>
        <w:t>□ Sorular hukuki değerlendirme istemiyor ve teknik alanla sınırlı.</w:t>
      </w:r>
    </w:p>
    <w:p>
      <w:pPr>
        <w:pStyle w:val="ListBullet"/>
        <w:spacing w:after="30"/>
        <w:ind w:left="317" w:hanging="187"/>
      </w:pPr>
      <w:r>
        <w:rPr>
          <w:rFonts w:ascii="Arial" w:hAnsi="Arial"/>
          <w:sz w:val="20"/>
        </w:rPr>
        <w:t>□ Ekler numaralandırıldı; dilekçe UYAP üzerinden e-imzalı sunulacak.</w:t>
      </w:r>
    </w:p>
    <w:sectPr w:rsidR="00FC693F" w:rsidRPr="0006063C" w:rsidSect="00034616">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