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jc w:val="center"/>
      </w:pPr>
      <w:r>
        <w:t>Usulünce Çağrılan Bilirkişinin Gelmemesi Nedeniyle İşlem Talebi</w:t>
      </w:r>
    </w:p>
    <w:p>
      <w:pPr>
        <w:spacing w:after="80"/>
        <w:jc w:val="center"/>
      </w:pPr>
      <w:r>
        <w:rPr>
          <w:rFonts w:ascii="Arial" w:hAnsi="Arial"/>
          <w:b/>
          <w:sz w:val="22"/>
        </w:rPr>
        <w:t>5271 sayılı Ceza Muhakemesi Kanunu m. 71 ve m. 60/1</w:t>
      </w:r>
    </w:p>
    <w:p>
      <w:pPr>
        <w:spacing w:after="80"/>
        <w:jc w:val="center"/>
      </w:pPr>
      <w:r>
        <w:rPr>
          <w:rFonts w:ascii="Arial" w:hAnsi="Arial"/>
          <w:b/>
          <w:sz w:val="22"/>
        </w:rPr>
        <w:t>[… CEZA MAHKEMESİNE]</w:t>
      </w:r>
    </w:p>
    <w:tbl>
      <w:tblPr>
        <w:tblW w:type="auto" w:w="0"/>
        <w:jc w:val="center"/>
        <w:tblLayout w:type="fixed"/>
        <w:tblLook w:firstColumn="1" w:firstRow="1" w:lastColumn="0" w:lastRow="0" w:noHBand="0" w:noVBand="1" w:val="04A0"/>
        <w:tblBorders>
          <w:top w:val="single" w:sz="7" w:color="D9D9D9"/>
          <w:left w:val="single" w:sz="7" w:color="D9D9D9"/>
          <w:bottom w:val="single" w:sz="7" w:color="D9D9D9"/>
          <w:right w:val="single" w:sz="7" w:color="D9D9D9"/>
          <w:insideH w:val="single" w:sz="7" w:color="D9D9D9"/>
          <w:insideV w:val="single" w:sz="7" w:color="D9D9D9"/>
        </w:tblBorders>
      </w:tblPr>
      <w:tblGrid>
        <w:gridCol w:w="5227"/>
        <w:gridCol w:w="5227"/>
      </w:tblGrid>
      <w:tr>
        <w:tc>
          <w:tcPr>
            <w:tcW w:type="dxa" w:w="2232"/>
            <w:shd w:fill="F3F6F8"/>
            <w:vAlign w:val="center"/>
            <w:tcMar>
              <w:top w:w="90" w:type="dxa"/>
              <w:start w:w="110" w:type="dxa"/>
              <w:bottom w:w="90" w:type="dxa"/>
              <w:end w:w="110" w:type="dxa"/>
            </w:tcMar>
          </w:tcPr>
          <w:p>
            <w:pPr>
              <w:spacing w:after="0" w:line="240" w:lineRule="auto"/>
            </w:pPr>
            <w:r>
              <w:rPr>
                <w:rFonts w:ascii="Arial" w:hAnsi="Arial"/>
                <w:b/>
                <w:sz w:val="18"/>
              </w:rPr>
              <w:t>ESAS NO</w:t>
            </w:r>
          </w:p>
        </w:tc>
        <w:tc>
          <w:tcPr>
            <w:tcW w:type="dxa" w:w="7992"/>
            <w:shd w:fill="F3F6F8"/>
            <w:vAlign w:val="center"/>
            <w:tcMar>
              <w:top w:w="90" w:type="dxa"/>
              <w:start w:w="110" w:type="dxa"/>
              <w:bottom w:w="90" w:type="dxa"/>
              <w:end w:w="110" w:type="dxa"/>
            </w:tcMar>
          </w:tcPr>
          <w:p>
            <w:pPr>
              <w:spacing w:after="0" w:line="240" w:lineRule="auto"/>
            </w:pPr>
            <w:r>
              <w:rPr>
                <w:rFonts w:ascii="Arial" w:hAnsi="Arial"/>
                <w:sz w:val="18"/>
              </w:rPr>
              <w:t>[Mahkeme esas numarası]</w:t>
            </w:r>
          </w:p>
        </w:tc>
      </w:tr>
      <w:tr>
        <w:tc>
          <w:tcPr>
            <w:tcW w:type="dxa" w:w="2232"/>
            <w:vAlign w:val="center"/>
            <w:tcMar>
              <w:top w:w="90" w:type="dxa"/>
              <w:start w:w="110" w:type="dxa"/>
              <w:bottom w:w="90" w:type="dxa"/>
              <w:end w:w="110" w:type="dxa"/>
            </w:tcMar>
          </w:tcPr>
          <w:p>
            <w:pPr>
              <w:spacing w:after="0" w:line="240" w:lineRule="auto"/>
            </w:pPr>
            <w:r>
              <w:rPr>
                <w:rFonts w:ascii="Arial" w:hAnsi="Arial"/>
                <w:b/>
                <w:sz w:val="18"/>
              </w:rPr>
              <w:t>BAŞVURAN</w:t>
            </w:r>
          </w:p>
        </w:tc>
        <w:tc>
          <w:tcPr>
            <w:tcW w:type="dxa" w:w="7992"/>
            <w:vAlign w:val="center"/>
            <w:tcMar>
              <w:top w:w="90" w:type="dxa"/>
              <w:start w:w="110" w:type="dxa"/>
              <w:bottom w:w="90" w:type="dxa"/>
              <w:end w:w="110" w:type="dxa"/>
            </w:tcMar>
          </w:tcPr>
          <w:p>
            <w:pPr>
              <w:spacing w:after="0" w:line="240" w:lineRule="auto"/>
            </w:pPr>
            <w:r>
              <w:rPr>
                <w:rFonts w:ascii="Arial" w:hAnsi="Arial"/>
                <w:sz w:val="18"/>
              </w:rPr>
              <w:t>[Sanık / müdafi / katılan / vekil – ad soyad]</w:t>
            </w:r>
          </w:p>
        </w:tc>
      </w:tr>
      <w:tr>
        <w:tc>
          <w:tcPr>
            <w:tcW w:type="dxa" w:w="2232"/>
            <w:shd w:fill="F3F6F8"/>
            <w:vAlign w:val="center"/>
            <w:tcMar>
              <w:top w:w="90" w:type="dxa"/>
              <w:start w:w="110" w:type="dxa"/>
              <w:bottom w:w="90" w:type="dxa"/>
              <w:end w:w="110" w:type="dxa"/>
            </w:tcMar>
          </w:tcPr>
          <w:p>
            <w:pPr>
              <w:spacing w:after="0" w:line="240" w:lineRule="auto"/>
            </w:pPr>
            <w:r>
              <w:rPr>
                <w:rFonts w:ascii="Arial" w:hAnsi="Arial"/>
                <w:b/>
                <w:sz w:val="18"/>
              </w:rPr>
              <w:t>BİLİRKİŞİ</w:t>
            </w:r>
          </w:p>
        </w:tc>
        <w:tc>
          <w:tcPr>
            <w:tcW w:type="dxa" w:w="7992"/>
            <w:shd w:fill="F3F6F8"/>
            <w:vAlign w:val="center"/>
            <w:tcMar>
              <w:top w:w="90" w:type="dxa"/>
              <w:start w:w="110" w:type="dxa"/>
              <w:bottom w:w="90" w:type="dxa"/>
              <w:end w:w="110" w:type="dxa"/>
            </w:tcMar>
          </w:tcPr>
          <w:p>
            <w:pPr>
              <w:spacing w:after="0" w:line="240" w:lineRule="auto"/>
            </w:pPr>
            <w:r>
              <w:rPr>
                <w:rFonts w:ascii="Arial" w:hAnsi="Arial"/>
                <w:sz w:val="18"/>
              </w:rPr>
              <w:t>[Ad soyad · sicil · uzmanlık alanı]</w:t>
            </w:r>
          </w:p>
        </w:tc>
      </w:tr>
      <w:tr>
        <w:tc>
          <w:tcPr>
            <w:tcW w:type="dxa" w:w="2232"/>
            <w:vAlign w:val="center"/>
            <w:tcMar>
              <w:top w:w="90" w:type="dxa"/>
              <w:start w:w="110" w:type="dxa"/>
              <w:bottom w:w="90" w:type="dxa"/>
              <w:end w:w="110" w:type="dxa"/>
            </w:tcMar>
          </w:tcPr>
          <w:p>
            <w:pPr>
              <w:spacing w:after="0" w:line="240" w:lineRule="auto"/>
            </w:pPr>
            <w:r>
              <w:rPr>
                <w:rFonts w:ascii="Arial" w:hAnsi="Arial"/>
                <w:b/>
                <w:sz w:val="18"/>
              </w:rPr>
              <w:t>GÖREVLENDİRME</w:t>
            </w:r>
          </w:p>
        </w:tc>
        <w:tc>
          <w:tcPr>
            <w:tcW w:type="dxa" w:w="7992"/>
            <w:vAlign w:val="center"/>
            <w:tcMar>
              <w:top w:w="90" w:type="dxa"/>
              <w:start w:w="110" w:type="dxa"/>
              <w:bottom w:w="90" w:type="dxa"/>
              <w:end w:w="110" w:type="dxa"/>
            </w:tcMar>
          </w:tcPr>
          <w:p>
            <w:pPr>
              <w:spacing w:after="0" w:line="240" w:lineRule="auto"/>
            </w:pPr>
            <w:r>
              <w:rPr>
                <w:rFonts w:ascii="Arial" w:hAnsi="Arial"/>
                <w:sz w:val="18"/>
              </w:rPr>
              <w:t>[Karar tarihi · görev konusu · teslim edilen materyal]</w:t>
            </w:r>
          </w:p>
        </w:tc>
      </w:tr>
      <w:tr>
        <w:tc>
          <w:tcPr>
            <w:tcW w:type="dxa" w:w="2232"/>
            <w:shd w:fill="F3F6F8"/>
            <w:vAlign w:val="center"/>
            <w:tcMar>
              <w:top w:w="90" w:type="dxa"/>
              <w:start w:w="110" w:type="dxa"/>
              <w:bottom w:w="90" w:type="dxa"/>
              <w:end w:w="110" w:type="dxa"/>
            </w:tcMar>
          </w:tcPr>
          <w:p>
            <w:pPr>
              <w:spacing w:after="0" w:line="240" w:lineRule="auto"/>
            </w:pPr>
            <w:r>
              <w:rPr>
                <w:rFonts w:ascii="Arial" w:hAnsi="Arial"/>
                <w:b/>
                <w:sz w:val="18"/>
              </w:rPr>
              <w:t>ÇAĞRI</w:t>
            </w:r>
          </w:p>
        </w:tc>
        <w:tc>
          <w:tcPr>
            <w:tcW w:type="dxa" w:w="7992"/>
            <w:shd w:fill="F3F6F8"/>
            <w:vAlign w:val="center"/>
            <w:tcMar>
              <w:top w:w="90" w:type="dxa"/>
              <w:start w:w="110" w:type="dxa"/>
              <w:bottom w:w="90" w:type="dxa"/>
              <w:end w:w="110" w:type="dxa"/>
            </w:tcMar>
          </w:tcPr>
          <w:p>
            <w:pPr>
              <w:spacing w:after="0" w:line="240" w:lineRule="auto"/>
            </w:pPr>
            <w:r>
              <w:rPr>
                <w:rFonts w:ascii="Arial" w:hAnsi="Arial"/>
                <w:sz w:val="18"/>
              </w:rPr>
              <w:t>[Çağrı tarihi · işlem günü ve saati · tebliğ tarihi ve yöntemi]</w:t>
            </w:r>
          </w:p>
        </w:tc>
      </w:tr>
      <w:tr>
        <w:tc>
          <w:tcPr>
            <w:tcW w:type="dxa" w:w="2232"/>
            <w:vAlign w:val="center"/>
            <w:tcMar>
              <w:top w:w="90" w:type="dxa"/>
              <w:start w:w="110" w:type="dxa"/>
              <w:bottom w:w="90" w:type="dxa"/>
              <w:end w:w="110" w:type="dxa"/>
            </w:tcMar>
          </w:tcPr>
          <w:p>
            <w:pPr>
              <w:spacing w:after="0" w:line="240" w:lineRule="auto"/>
            </w:pPr>
            <w:r>
              <w:rPr>
                <w:rFonts w:ascii="Arial" w:hAnsi="Arial"/>
                <w:b/>
                <w:sz w:val="18"/>
              </w:rPr>
              <w:t>KONU</w:t>
            </w:r>
          </w:p>
        </w:tc>
        <w:tc>
          <w:tcPr>
            <w:tcW w:type="dxa" w:w="7992"/>
            <w:vAlign w:val="center"/>
            <w:tcMar>
              <w:top w:w="90" w:type="dxa"/>
              <w:start w:w="110" w:type="dxa"/>
              <w:bottom w:w="90" w:type="dxa"/>
              <w:end w:w="110" w:type="dxa"/>
            </w:tcMar>
          </w:tcPr>
          <w:p>
            <w:pPr>
              <w:spacing w:after="0" w:line="240" w:lineRule="auto"/>
            </w:pPr>
            <w:r>
              <w:rPr>
                <w:rFonts w:ascii="Arial" w:hAnsi="Arial"/>
                <w:sz w:val="18"/>
              </w:rPr>
              <w:t>CMK m.71 koşullarının kayıtlar üzerinden incelenmesi; oluşmuşsa m.60/1 işlemi, bölge kuruluna bildirim ve incelemenin sürdürülmesi talebidir.</w:t>
            </w:r>
          </w:p>
        </w:tc>
      </w:tr>
    </w:tbl>
    <w:p>
      <w:pPr>
        <w:spacing w:before="140" w:after="60"/>
        <w:keepNext/>
      </w:pPr>
      <w:r>
        <w:rPr>
          <w:rFonts w:ascii="Arial" w:hAnsi="Arial"/>
          <w:b/>
          <w:color w:val="000000"/>
          <w:sz w:val="22"/>
        </w:rPr>
        <w:t>AÇIKLAMALAR</w:t>
      </w:r>
    </w:p>
    <w:p>
      <w:pPr>
        <w:spacing w:after="60" w:line="247" w:lineRule="auto"/>
        <w:jc w:val="both"/>
      </w:pPr>
      <w:r>
        <w:rPr>
          <w:b/>
        </w:rPr>
        <w:t xml:space="preserve">1. </w:t>
      </w:r>
      <w:r>
        <w:rPr>
          <w:rFonts w:ascii="Arial" w:hAnsi="Arial"/>
          <w:sz w:val="20"/>
        </w:rPr>
        <w:t>Mahkemenizin yukarıda numarası yazılı dosyasında [inceleme konusu] hakkında özel ve teknik bilgiye başvurulması amacıyla [tarih] tarihli ara kararla [bilirkişi adı] görevlendirilmiştir. Görevlendirme kararında rapor konusu, teslim edilen materyal ve süresi belirtilmiştir.</w:t>
      </w:r>
    </w:p>
    <w:p>
      <w:pPr>
        <w:spacing w:after="60" w:line="247" w:lineRule="auto"/>
        <w:jc w:val="both"/>
      </w:pPr>
      <w:r>
        <w:rPr>
          <w:b/>
        </w:rPr>
        <w:t xml:space="preserve">2. </w:t>
      </w:r>
      <w:r>
        <w:rPr>
          <w:rFonts w:ascii="Arial" w:hAnsi="Arial"/>
          <w:sz w:val="20"/>
        </w:rPr>
        <w:t>Bilirkişinin [keşif / duruşma / numune alma / sözlü açıklama] işlemi için [tarih] günü saat [saat]’te hazır bulunmasına ilişkin çağrı, [elektronik tebligat / posta / imza karşılığı] yöntemiyle [tebliğ tarihi] tarihinde tebliğ edilmiştir. Tebliğ mazbatası ve elektronik erişim kaydı Ek-2’dedir.</w:t>
      </w:r>
    </w:p>
    <w:p>
      <w:pPr>
        <w:spacing w:after="60" w:line="247" w:lineRule="auto"/>
        <w:jc w:val="both"/>
      </w:pPr>
      <w:r>
        <w:rPr>
          <w:b/>
        </w:rPr>
        <w:t xml:space="preserve">3. </w:t>
      </w:r>
      <w:r>
        <w:rPr>
          <w:rFonts w:ascii="Arial" w:hAnsi="Arial"/>
          <w:sz w:val="20"/>
        </w:rPr>
        <w:t>Belirlenen gün yapılan yoklamada bilirkişinin hazır bulunmadığı [tarih] tarihli duruşma veya işlem tutanağına açıkça yazılmıştır. Tutanakta çağrı yapılan kişi, işlem saati ve yokluk kaydı gösterilmiştir; yalnız sözlü bilgiye dayanılmamaktadır.</w:t>
      </w:r>
    </w:p>
    <w:p>
      <w:pPr>
        <w:spacing w:after="60" w:line="247" w:lineRule="auto"/>
        <w:jc w:val="both"/>
      </w:pPr>
      <w:r>
        <w:rPr>
          <w:b/>
        </w:rPr>
        <w:t xml:space="preserve">4. </w:t>
      </w:r>
      <w:r>
        <w:rPr>
          <w:rFonts w:ascii="Arial" w:hAnsi="Arial"/>
          <w:sz w:val="20"/>
        </w:rPr>
        <w:t>Dosyada [kontrol tarihi] itibarıyla çağrıya katılamamayı açıklayan süresinde sunulmuş ve belgeye dayanan bir mazeret bulunmamaktadır. [Mazeret varsa: tarihli dilekçe ve eki ayrıca değerlendirilerek bu cümle gerçek kayda göre değiştirilmelidir.] Talebimiz, mazeret incelenmeden otomatik yaptırım kurulmasına yönelik değildir.</w:t>
      </w:r>
    </w:p>
    <w:p>
      <w:pPr>
        <w:spacing w:after="60" w:line="247" w:lineRule="auto"/>
        <w:jc w:val="both"/>
      </w:pPr>
      <w:r>
        <w:rPr>
          <w:b/>
        </w:rPr>
        <w:t xml:space="preserve">5. </w:t>
      </w:r>
      <w:r>
        <w:rPr>
          <w:rFonts w:ascii="Arial" w:hAnsi="Arial"/>
          <w:sz w:val="20"/>
        </w:rPr>
        <w:t>CMK m.71, usulünce çağrıldığı hâlde gelmeyen veya gelip de yeminden, oy ve görüş bildirmekten çekinen bilirkişi hakkında CMK m.60’ın birinci fıkrasının uygulanmasını ve durumun bilirkişilik bölge kuruluna bildirilmesini düzenler. Bu nedenle önce çağrının usulü, tebliğ, yokluk veya çekinme davranışı ve kanuni sebep birlikte saptanmalıdır.</w:t>
      </w:r>
    </w:p>
    <w:p>
      <w:pPr>
        <w:spacing w:after="60" w:line="247" w:lineRule="auto"/>
        <w:jc w:val="both"/>
      </w:pPr>
      <w:r>
        <w:rPr>
          <w:b/>
        </w:rPr>
        <w:t xml:space="preserve">6. </w:t>
      </w:r>
      <w:r>
        <w:rPr>
          <w:rFonts w:ascii="Arial" w:hAnsi="Arial"/>
          <w:sz w:val="20"/>
        </w:rPr>
        <w:t>CMK m.60/1’deki sonuçlar, yasal bir sebep olmaksızın yükümlülükten kaçınma koşuluna bağlıdır. Maddede, doğan giderlere hükmedilmesi ile yükümlülüğün yerine getirilmesi amacıyla dava hakkında hüküm verilinceye kadar ve her hâlde üç ayı geçmemek üzere disiplin hapsi öngörülmüştür. Yükümlülük yerine getirildiğinde kişinin derhâl serbest bırakılması gerekir.</w:t>
      </w:r>
    </w:p>
    <w:p>
      <w:pPr>
        <w:spacing w:after="60" w:line="247" w:lineRule="auto"/>
        <w:jc w:val="both"/>
      </w:pPr>
      <w:r>
        <w:rPr>
          <w:b/>
        </w:rPr>
        <w:t xml:space="preserve">7. </w:t>
      </w:r>
      <w:r>
        <w:rPr>
          <w:rFonts w:ascii="Arial" w:hAnsi="Arial"/>
          <w:sz w:val="20"/>
        </w:rPr>
        <w:t>Bilirkişinin CMK m.70 kapsamındaki çekinme sebebi, uzmanlık alanı dışında görevlendirme, sağlık durumu veya belgelendirilmiş zorlayıcı neden ileri sürmesi hâlinde bu savunma önce incelenmelidir. Geçerli çekinme veya mazeret mevcutsa ‘yasal sebep olmaksızın’ koşulu kurulamaz.</w:t>
      </w:r>
    </w:p>
    <w:p>
      <w:pPr>
        <w:spacing w:after="60" w:line="247" w:lineRule="auto"/>
        <w:jc w:val="both"/>
      </w:pPr>
      <w:r>
        <w:rPr>
          <w:b/>
        </w:rPr>
        <w:t xml:space="preserve">8. </w:t>
      </w:r>
      <w:r>
        <w:rPr>
          <w:rFonts w:ascii="Arial" w:hAnsi="Arial"/>
          <w:sz w:val="20"/>
        </w:rPr>
        <w:t>Bu başvuru, yalnız raporun süresinde verilmemesine ilişkin değildir. Rapor gecikmesi CMK m.66/2 ve ilgili bilirkişilik mevzuatı çerçevesinde ayrıca değerlendirilir. Buradaki somut olay, usulüne uygun çağrıya rağmen [işleme gelmeme / geldikten sonra yemin, oy veya görüşten çekinme] davranışıdır.</w:t>
      </w:r>
    </w:p>
    <w:p>
      <w:pPr>
        <w:spacing w:after="60" w:line="247" w:lineRule="auto"/>
        <w:jc w:val="both"/>
      </w:pPr>
      <w:r>
        <w:rPr>
          <w:b/>
        </w:rPr>
        <w:t xml:space="preserve">9. </w:t>
      </w:r>
      <w:r>
        <w:rPr>
          <w:rFonts w:ascii="Arial" w:hAnsi="Arial"/>
          <w:sz w:val="20"/>
        </w:rPr>
        <w:t>CMK m.71’deki bölge kuruluna bildirim, koşulların oluştuğu tespit edildiğinde ayrıca yerine getirilmesi gereken kanuni işlemdir. Bildirim ekine görevlendirme, çağrı, tebliğ, yokluk veya çekinme tutanağı, mazeret kayıtları ve verilen karar eklenmelidir.</w:t>
      </w:r>
    </w:p>
    <w:p>
      <w:pPr>
        <w:spacing w:after="60" w:line="247" w:lineRule="auto"/>
        <w:jc w:val="both"/>
      </w:pPr>
      <w:r>
        <w:rPr>
          <w:b/>
        </w:rPr>
        <w:t xml:space="preserve">10. </w:t>
      </w:r>
      <w:r>
        <w:rPr>
          <w:rFonts w:ascii="Arial" w:hAnsi="Arial"/>
          <w:sz w:val="20"/>
        </w:rPr>
        <w:t>Teknik incelemenin kesintiye uğramaması için yaptırım incelemesinden ayrı olarak bilirkişinin yeniden çağrılması veya yeni bilirkişi görevlendirilmesi hakkında açık karar kurulmalıdır. CMK m.71 işlemi, dosyanın belirsiz süre bekletilmesine dayanak değildir.</w:t>
      </w:r>
    </w:p>
    <w:p>
      <w:r>
        <w:br w:type="page"/>
      </w:r>
    </w:p>
    <w:p>
      <w:pPr>
        <w:spacing w:before="140" w:after="60"/>
        <w:keepNext/>
      </w:pPr>
      <w:r>
        <w:rPr>
          <w:rFonts w:ascii="Arial" w:hAnsi="Arial"/>
          <w:b/>
          <w:color w:val="000000"/>
          <w:sz w:val="22"/>
        </w:rPr>
        <w:t>OLAY VE KAYIT ÇİZELGESİ</w:t>
      </w:r>
    </w:p>
    <w:tbl>
      <w:tblPr>
        <w:tblW w:type="auto" w:w="0"/>
        <w:jc w:val="center"/>
        <w:tblLayout w:type="fixed"/>
        <w:tblLook w:firstColumn="1" w:firstRow="1" w:lastColumn="0" w:lastRow="0" w:noHBand="0" w:noVBand="1" w:val="04A0"/>
        <w:tblBorders>
          <w:top w:val="single" w:sz="7" w:color="D9D9D9"/>
          <w:left w:val="single" w:sz="7" w:color="D9D9D9"/>
          <w:bottom w:val="single" w:sz="7" w:color="D9D9D9"/>
          <w:right w:val="single" w:sz="7" w:color="D9D9D9"/>
          <w:insideH w:val="single" w:sz="7" w:color="D9D9D9"/>
          <w:insideV w:val="single" w:sz="7" w:color="D9D9D9"/>
        </w:tblBorders>
      </w:tblPr>
      <w:tblGrid>
        <w:gridCol w:w="2613"/>
        <w:gridCol w:w="2613"/>
        <w:gridCol w:w="2613"/>
        <w:gridCol w:w="2613"/>
      </w:tblGrid>
      <w:tr>
        <w:trPr>
          <w:tblHeader w:val="true"/>
        </w:trPr>
        <w:tc>
          <w:tcPr>
            <w:tcW w:type="dxa" w:w="605"/>
            <w:vAlign w:val="center"/>
            <w:tcMar>
              <w:top w:w="90" w:type="dxa"/>
              <w:start w:w="110" w:type="dxa"/>
              <w:bottom w:w="90" w:type="dxa"/>
              <w:end w:w="110" w:type="dxa"/>
            </w:tcMar>
            <w:shd w:fill="D9EAF7"/>
          </w:tcPr>
          <w:p>
            <w:pPr>
              <w:spacing w:after="0" w:line="240" w:lineRule="auto"/>
            </w:pPr>
            <w:r>
              <w:rPr>
                <w:rFonts w:ascii="Arial" w:hAnsi="Arial"/>
                <w:b/>
                <w:sz w:val="18"/>
              </w:rPr>
              <w:t>No</w:t>
            </w:r>
          </w:p>
        </w:tc>
        <w:tc>
          <w:tcPr>
            <w:tcW w:type="dxa" w:w="1872"/>
            <w:vAlign w:val="center"/>
            <w:tcMar>
              <w:top w:w="90" w:type="dxa"/>
              <w:start w:w="110" w:type="dxa"/>
              <w:bottom w:w="90" w:type="dxa"/>
              <w:end w:w="110" w:type="dxa"/>
            </w:tcMar>
            <w:shd w:fill="D9EAF7"/>
          </w:tcPr>
          <w:p>
            <w:pPr>
              <w:spacing w:after="0" w:line="240" w:lineRule="auto"/>
            </w:pPr>
            <w:r>
              <w:rPr>
                <w:rFonts w:ascii="Arial" w:hAnsi="Arial"/>
                <w:b/>
                <w:sz w:val="18"/>
              </w:rPr>
              <w:t>Kayıt</w:t>
            </w:r>
          </w:p>
        </w:tc>
        <w:tc>
          <w:tcPr>
            <w:tcW w:type="dxa" w:w="3096"/>
            <w:vAlign w:val="center"/>
            <w:tcMar>
              <w:top w:w="90" w:type="dxa"/>
              <w:start w:w="110" w:type="dxa"/>
              <w:bottom w:w="90" w:type="dxa"/>
              <w:end w:w="110" w:type="dxa"/>
            </w:tcMar>
            <w:shd w:fill="D9EAF7"/>
          </w:tcPr>
          <w:p>
            <w:pPr>
              <w:spacing w:after="0" w:line="240" w:lineRule="auto"/>
            </w:pPr>
            <w:r>
              <w:rPr>
                <w:rFonts w:ascii="Arial" w:hAnsi="Arial"/>
                <w:b/>
                <w:sz w:val="18"/>
              </w:rPr>
              <w:t>Dosyadaki karşılığı</w:t>
            </w:r>
          </w:p>
        </w:tc>
        <w:tc>
          <w:tcPr>
            <w:tcW w:type="dxa" w:w="4579"/>
            <w:vAlign w:val="center"/>
            <w:tcMar>
              <w:top w:w="90" w:type="dxa"/>
              <w:start w:w="110" w:type="dxa"/>
              <w:bottom w:w="90" w:type="dxa"/>
              <w:end w:w="110" w:type="dxa"/>
            </w:tcMar>
            <w:shd w:fill="D9EAF7"/>
          </w:tcPr>
          <w:p>
            <w:pPr>
              <w:spacing w:after="0" w:line="240" w:lineRule="auto"/>
            </w:pPr>
            <w:r>
              <w:rPr>
                <w:rFonts w:ascii="Arial" w:hAnsi="Arial"/>
                <w:b/>
                <w:sz w:val="18"/>
              </w:rPr>
              <w:t>İspat ettiği nokta</w:t>
            </w:r>
          </w:p>
        </w:tc>
      </w:tr>
      <w:tr>
        <w:tc>
          <w:tcPr>
            <w:tcW w:type="dxa" w:w="605"/>
            <w:vAlign w:val="center"/>
            <w:tcMar>
              <w:top w:w="90" w:type="dxa"/>
              <w:start w:w="110" w:type="dxa"/>
              <w:bottom w:w="90" w:type="dxa"/>
              <w:end w:w="110" w:type="dxa"/>
            </w:tcMar>
          </w:tcPr>
          <w:p>
            <w:pPr>
              <w:spacing w:after="0" w:line="240" w:lineRule="auto"/>
            </w:pPr>
            <w:r>
              <w:rPr>
                <w:rFonts w:ascii="Arial" w:hAnsi="Arial"/>
                <w:sz w:val="18"/>
              </w:rPr>
              <w:t>1</w:t>
            </w:r>
          </w:p>
        </w:tc>
        <w:tc>
          <w:tcPr>
            <w:tcW w:type="dxa" w:w="1872"/>
            <w:vAlign w:val="center"/>
            <w:tcMar>
              <w:top w:w="90" w:type="dxa"/>
              <w:start w:w="110" w:type="dxa"/>
              <w:bottom w:w="90" w:type="dxa"/>
              <w:end w:w="110" w:type="dxa"/>
            </w:tcMar>
          </w:tcPr>
          <w:p>
            <w:pPr>
              <w:spacing w:after="0" w:line="240" w:lineRule="auto"/>
            </w:pPr>
            <w:r>
              <w:rPr>
                <w:rFonts w:ascii="Arial" w:hAnsi="Arial"/>
                <w:sz w:val="18"/>
              </w:rPr>
              <w:t>Görevlendirme</w:t>
            </w:r>
          </w:p>
        </w:tc>
        <w:tc>
          <w:tcPr>
            <w:tcW w:type="dxa" w:w="3096"/>
            <w:vAlign w:val="center"/>
            <w:tcMar>
              <w:top w:w="90" w:type="dxa"/>
              <w:start w:w="110" w:type="dxa"/>
              <w:bottom w:w="90" w:type="dxa"/>
              <w:end w:w="110" w:type="dxa"/>
            </w:tcMar>
          </w:tcPr>
          <w:p>
            <w:pPr>
              <w:spacing w:after="0" w:line="240" w:lineRule="auto"/>
            </w:pPr>
            <w:r>
              <w:rPr>
                <w:rFonts w:ascii="Arial" w:hAnsi="Arial"/>
                <w:sz w:val="18"/>
              </w:rPr>
              <w:t>[Tarih ve ara karar no]</w:t>
            </w:r>
          </w:p>
        </w:tc>
        <w:tc>
          <w:tcPr>
            <w:tcW w:type="dxa" w:w="4579"/>
            <w:vAlign w:val="center"/>
            <w:tcMar>
              <w:top w:w="90" w:type="dxa"/>
              <w:start w:w="110" w:type="dxa"/>
              <w:bottom w:w="90" w:type="dxa"/>
              <w:end w:w="110" w:type="dxa"/>
            </w:tcMar>
          </w:tcPr>
          <w:p>
            <w:pPr>
              <w:spacing w:after="0" w:line="240" w:lineRule="auto"/>
            </w:pPr>
            <w:r>
              <w:rPr>
                <w:rFonts w:ascii="Arial" w:hAnsi="Arial"/>
                <w:sz w:val="18"/>
              </w:rPr>
              <w:t>Görev ve uzmanlık alanı</w:t>
            </w:r>
          </w:p>
        </w:tc>
      </w:tr>
      <w:tr>
        <w:tc>
          <w:tcPr>
            <w:tcW w:type="dxa" w:w="605"/>
            <w:vAlign w:val="center"/>
            <w:tcMar>
              <w:top w:w="90" w:type="dxa"/>
              <w:start w:w="110" w:type="dxa"/>
              <w:bottom w:w="90" w:type="dxa"/>
              <w:end w:w="110" w:type="dxa"/>
            </w:tcMar>
            <w:shd w:fill="F6F9FC"/>
          </w:tcPr>
          <w:p>
            <w:pPr>
              <w:spacing w:after="0" w:line="240" w:lineRule="auto"/>
            </w:pPr>
            <w:r>
              <w:rPr>
                <w:rFonts w:ascii="Arial" w:hAnsi="Arial"/>
                <w:sz w:val="18"/>
              </w:rPr>
              <w:t>2</w:t>
            </w:r>
          </w:p>
        </w:tc>
        <w:tc>
          <w:tcPr>
            <w:tcW w:type="dxa" w:w="1872"/>
            <w:vAlign w:val="center"/>
            <w:tcMar>
              <w:top w:w="90" w:type="dxa"/>
              <w:start w:w="110" w:type="dxa"/>
              <w:bottom w:w="90" w:type="dxa"/>
              <w:end w:w="110" w:type="dxa"/>
            </w:tcMar>
            <w:shd w:fill="F6F9FC"/>
          </w:tcPr>
          <w:p>
            <w:pPr>
              <w:spacing w:after="0" w:line="240" w:lineRule="auto"/>
            </w:pPr>
            <w:r>
              <w:rPr>
                <w:rFonts w:ascii="Arial" w:hAnsi="Arial"/>
                <w:sz w:val="18"/>
              </w:rPr>
              <w:t>Çağrı</w:t>
            </w:r>
          </w:p>
        </w:tc>
        <w:tc>
          <w:tcPr>
            <w:tcW w:type="dxa" w:w="3096"/>
            <w:vAlign w:val="center"/>
            <w:tcMar>
              <w:top w:w="90" w:type="dxa"/>
              <w:start w:w="110" w:type="dxa"/>
              <w:bottom w:w="90" w:type="dxa"/>
              <w:end w:w="110" w:type="dxa"/>
            </w:tcMar>
            <w:shd w:fill="F6F9FC"/>
          </w:tcPr>
          <w:p>
            <w:pPr>
              <w:spacing w:after="0" w:line="240" w:lineRule="auto"/>
            </w:pPr>
            <w:r>
              <w:rPr>
                <w:rFonts w:ascii="Arial" w:hAnsi="Arial"/>
                <w:sz w:val="18"/>
              </w:rPr>
              <w:t>[İşlem günü ve saat]</w:t>
            </w:r>
          </w:p>
        </w:tc>
        <w:tc>
          <w:tcPr>
            <w:tcW w:type="dxa" w:w="4579"/>
            <w:vAlign w:val="center"/>
            <w:tcMar>
              <w:top w:w="90" w:type="dxa"/>
              <w:start w:w="110" w:type="dxa"/>
              <w:bottom w:w="90" w:type="dxa"/>
              <w:end w:w="110" w:type="dxa"/>
            </w:tcMar>
            <w:shd w:fill="F6F9FC"/>
          </w:tcPr>
          <w:p>
            <w:pPr>
              <w:spacing w:after="0" w:line="240" w:lineRule="auto"/>
            </w:pPr>
            <w:r>
              <w:rPr>
                <w:rFonts w:ascii="Arial" w:hAnsi="Arial"/>
                <w:sz w:val="18"/>
              </w:rPr>
              <w:t>Çağrının içeriği</w:t>
            </w:r>
          </w:p>
        </w:tc>
      </w:tr>
      <w:tr>
        <w:tc>
          <w:tcPr>
            <w:tcW w:type="dxa" w:w="605"/>
            <w:vAlign w:val="center"/>
            <w:tcMar>
              <w:top w:w="90" w:type="dxa"/>
              <w:start w:w="110" w:type="dxa"/>
              <w:bottom w:w="90" w:type="dxa"/>
              <w:end w:w="110" w:type="dxa"/>
            </w:tcMar>
          </w:tcPr>
          <w:p>
            <w:pPr>
              <w:spacing w:after="0" w:line="240" w:lineRule="auto"/>
            </w:pPr>
            <w:r>
              <w:rPr>
                <w:rFonts w:ascii="Arial" w:hAnsi="Arial"/>
                <w:sz w:val="18"/>
              </w:rPr>
              <w:t>3</w:t>
            </w:r>
          </w:p>
        </w:tc>
        <w:tc>
          <w:tcPr>
            <w:tcW w:type="dxa" w:w="1872"/>
            <w:vAlign w:val="center"/>
            <w:tcMar>
              <w:top w:w="90" w:type="dxa"/>
              <w:start w:w="110" w:type="dxa"/>
              <w:bottom w:w="90" w:type="dxa"/>
              <w:end w:w="110" w:type="dxa"/>
            </w:tcMar>
          </w:tcPr>
          <w:p>
            <w:pPr>
              <w:spacing w:after="0" w:line="240" w:lineRule="auto"/>
            </w:pPr>
            <w:r>
              <w:rPr>
                <w:rFonts w:ascii="Arial" w:hAnsi="Arial"/>
                <w:sz w:val="18"/>
              </w:rPr>
              <w:t>Tebliğ</w:t>
            </w:r>
          </w:p>
        </w:tc>
        <w:tc>
          <w:tcPr>
            <w:tcW w:type="dxa" w:w="3096"/>
            <w:vAlign w:val="center"/>
            <w:tcMar>
              <w:top w:w="90" w:type="dxa"/>
              <w:start w:w="110" w:type="dxa"/>
              <w:bottom w:w="90" w:type="dxa"/>
              <w:end w:w="110" w:type="dxa"/>
            </w:tcMar>
          </w:tcPr>
          <w:p>
            <w:pPr>
              <w:spacing w:after="0" w:line="240" w:lineRule="auto"/>
            </w:pPr>
            <w:r>
              <w:rPr>
                <w:rFonts w:ascii="Arial" w:hAnsi="Arial"/>
                <w:sz w:val="18"/>
              </w:rPr>
              <w:t>[Tarih ve yöntem]</w:t>
            </w:r>
          </w:p>
        </w:tc>
        <w:tc>
          <w:tcPr>
            <w:tcW w:type="dxa" w:w="4579"/>
            <w:vAlign w:val="center"/>
            <w:tcMar>
              <w:top w:w="90" w:type="dxa"/>
              <w:start w:w="110" w:type="dxa"/>
              <w:bottom w:w="90" w:type="dxa"/>
              <w:end w:w="110" w:type="dxa"/>
            </w:tcMar>
          </w:tcPr>
          <w:p>
            <w:pPr>
              <w:spacing w:after="0" w:line="240" w:lineRule="auto"/>
            </w:pPr>
            <w:r>
              <w:rPr>
                <w:rFonts w:ascii="Arial" w:hAnsi="Arial"/>
                <w:sz w:val="18"/>
              </w:rPr>
              <w:t>Mazbata / e-tebligat kaydı</w:t>
            </w:r>
          </w:p>
        </w:tc>
      </w:tr>
      <w:tr>
        <w:tc>
          <w:tcPr>
            <w:tcW w:type="dxa" w:w="605"/>
            <w:vAlign w:val="center"/>
            <w:tcMar>
              <w:top w:w="90" w:type="dxa"/>
              <w:start w:w="110" w:type="dxa"/>
              <w:bottom w:w="90" w:type="dxa"/>
              <w:end w:w="110" w:type="dxa"/>
            </w:tcMar>
            <w:shd w:fill="F6F9FC"/>
          </w:tcPr>
          <w:p>
            <w:pPr>
              <w:spacing w:after="0" w:line="240" w:lineRule="auto"/>
            </w:pPr>
            <w:r>
              <w:rPr>
                <w:rFonts w:ascii="Arial" w:hAnsi="Arial"/>
                <w:sz w:val="18"/>
              </w:rPr>
              <w:t>4</w:t>
            </w:r>
          </w:p>
        </w:tc>
        <w:tc>
          <w:tcPr>
            <w:tcW w:type="dxa" w:w="1872"/>
            <w:vAlign w:val="center"/>
            <w:tcMar>
              <w:top w:w="90" w:type="dxa"/>
              <w:start w:w="110" w:type="dxa"/>
              <w:bottom w:w="90" w:type="dxa"/>
              <w:end w:w="110" w:type="dxa"/>
            </w:tcMar>
            <w:shd w:fill="F6F9FC"/>
          </w:tcPr>
          <w:p>
            <w:pPr>
              <w:spacing w:after="0" w:line="240" w:lineRule="auto"/>
            </w:pPr>
            <w:r>
              <w:rPr>
                <w:rFonts w:ascii="Arial" w:hAnsi="Arial"/>
                <w:sz w:val="18"/>
              </w:rPr>
              <w:t>Yoklama</w:t>
            </w:r>
          </w:p>
        </w:tc>
        <w:tc>
          <w:tcPr>
            <w:tcW w:type="dxa" w:w="3096"/>
            <w:vAlign w:val="center"/>
            <w:tcMar>
              <w:top w:w="90" w:type="dxa"/>
              <w:start w:w="110" w:type="dxa"/>
              <w:bottom w:w="90" w:type="dxa"/>
              <w:end w:w="110" w:type="dxa"/>
            </w:tcMar>
            <w:shd w:fill="F6F9FC"/>
          </w:tcPr>
          <w:p>
            <w:pPr>
              <w:spacing w:after="0" w:line="240" w:lineRule="auto"/>
            </w:pPr>
            <w:r>
              <w:rPr>
                <w:rFonts w:ascii="Arial" w:hAnsi="Arial"/>
                <w:sz w:val="18"/>
              </w:rPr>
              <w:t>[Tutanak tarihi]</w:t>
            </w:r>
          </w:p>
        </w:tc>
        <w:tc>
          <w:tcPr>
            <w:tcW w:type="dxa" w:w="4579"/>
            <w:vAlign w:val="center"/>
            <w:tcMar>
              <w:top w:w="90" w:type="dxa"/>
              <w:start w:w="110" w:type="dxa"/>
              <w:bottom w:w="90" w:type="dxa"/>
              <w:end w:w="110" w:type="dxa"/>
            </w:tcMar>
            <w:shd w:fill="F6F9FC"/>
          </w:tcPr>
          <w:p>
            <w:pPr>
              <w:spacing w:after="0" w:line="240" w:lineRule="auto"/>
            </w:pPr>
            <w:r>
              <w:rPr>
                <w:rFonts w:ascii="Arial" w:hAnsi="Arial"/>
                <w:sz w:val="18"/>
              </w:rPr>
              <w:t>Gelmedi / geldi ve çekindi</w:t>
            </w:r>
          </w:p>
        </w:tc>
      </w:tr>
      <w:tr>
        <w:tc>
          <w:tcPr>
            <w:tcW w:type="dxa" w:w="605"/>
            <w:vAlign w:val="center"/>
            <w:tcMar>
              <w:top w:w="90" w:type="dxa"/>
              <w:start w:w="110" w:type="dxa"/>
              <w:bottom w:w="90" w:type="dxa"/>
              <w:end w:w="110" w:type="dxa"/>
            </w:tcMar>
          </w:tcPr>
          <w:p>
            <w:pPr>
              <w:spacing w:after="0" w:line="240" w:lineRule="auto"/>
            </w:pPr>
            <w:r>
              <w:rPr>
                <w:rFonts w:ascii="Arial" w:hAnsi="Arial"/>
                <w:sz w:val="18"/>
              </w:rPr>
              <w:t>5</w:t>
            </w:r>
          </w:p>
        </w:tc>
        <w:tc>
          <w:tcPr>
            <w:tcW w:type="dxa" w:w="1872"/>
            <w:vAlign w:val="center"/>
            <w:tcMar>
              <w:top w:w="90" w:type="dxa"/>
              <w:start w:w="110" w:type="dxa"/>
              <w:bottom w:w="90" w:type="dxa"/>
              <w:end w:w="110" w:type="dxa"/>
            </w:tcMar>
          </w:tcPr>
          <w:p>
            <w:pPr>
              <w:spacing w:after="0" w:line="240" w:lineRule="auto"/>
            </w:pPr>
            <w:r>
              <w:rPr>
                <w:rFonts w:ascii="Arial" w:hAnsi="Arial"/>
                <w:sz w:val="18"/>
              </w:rPr>
              <w:t>Mazeret</w:t>
            </w:r>
          </w:p>
        </w:tc>
        <w:tc>
          <w:tcPr>
            <w:tcW w:type="dxa" w:w="3096"/>
            <w:vAlign w:val="center"/>
            <w:tcMar>
              <w:top w:w="90" w:type="dxa"/>
              <w:start w:w="110" w:type="dxa"/>
              <w:bottom w:w="90" w:type="dxa"/>
              <w:end w:w="110" w:type="dxa"/>
            </w:tcMar>
          </w:tcPr>
          <w:p>
            <w:pPr>
              <w:spacing w:after="0" w:line="240" w:lineRule="auto"/>
            </w:pPr>
            <w:r>
              <w:rPr>
                <w:rFonts w:ascii="Arial" w:hAnsi="Arial"/>
                <w:sz w:val="18"/>
              </w:rPr>
              <w:t>[Var / yok · tarih]</w:t>
            </w:r>
          </w:p>
        </w:tc>
        <w:tc>
          <w:tcPr>
            <w:tcW w:type="dxa" w:w="4579"/>
            <w:vAlign w:val="center"/>
            <w:tcMar>
              <w:top w:w="90" w:type="dxa"/>
              <w:start w:w="110" w:type="dxa"/>
              <w:bottom w:w="90" w:type="dxa"/>
              <w:end w:w="110" w:type="dxa"/>
            </w:tcMar>
          </w:tcPr>
          <w:p>
            <w:pPr>
              <w:spacing w:after="0" w:line="240" w:lineRule="auto"/>
            </w:pPr>
            <w:r>
              <w:rPr>
                <w:rFonts w:ascii="Arial" w:hAnsi="Arial"/>
                <w:sz w:val="18"/>
              </w:rPr>
              <w:t>Belge ve zaman yönünden inceleme</w:t>
            </w:r>
          </w:p>
        </w:tc>
      </w:tr>
      <w:tr>
        <w:tc>
          <w:tcPr>
            <w:tcW w:type="dxa" w:w="605"/>
            <w:vAlign w:val="center"/>
            <w:tcMar>
              <w:top w:w="90" w:type="dxa"/>
              <w:start w:w="110" w:type="dxa"/>
              <w:bottom w:w="90" w:type="dxa"/>
              <w:end w:w="110" w:type="dxa"/>
            </w:tcMar>
            <w:shd w:fill="F6F9FC"/>
          </w:tcPr>
          <w:p>
            <w:pPr>
              <w:spacing w:after="0" w:line="240" w:lineRule="auto"/>
            </w:pPr>
            <w:r>
              <w:rPr>
                <w:rFonts w:ascii="Arial" w:hAnsi="Arial"/>
                <w:sz w:val="18"/>
              </w:rPr>
              <w:t>6</w:t>
            </w:r>
          </w:p>
        </w:tc>
        <w:tc>
          <w:tcPr>
            <w:tcW w:type="dxa" w:w="1872"/>
            <w:vAlign w:val="center"/>
            <w:tcMar>
              <w:top w:w="90" w:type="dxa"/>
              <w:start w:w="110" w:type="dxa"/>
              <w:bottom w:w="90" w:type="dxa"/>
              <w:end w:w="110" w:type="dxa"/>
            </w:tcMar>
            <w:shd w:fill="F6F9FC"/>
          </w:tcPr>
          <w:p>
            <w:pPr>
              <w:spacing w:after="0" w:line="240" w:lineRule="auto"/>
            </w:pPr>
            <w:r>
              <w:rPr>
                <w:rFonts w:ascii="Arial" w:hAnsi="Arial"/>
                <w:sz w:val="18"/>
              </w:rPr>
              <w:t>Teknik işin durumu</w:t>
            </w:r>
          </w:p>
        </w:tc>
        <w:tc>
          <w:tcPr>
            <w:tcW w:type="dxa" w:w="3096"/>
            <w:vAlign w:val="center"/>
            <w:tcMar>
              <w:top w:w="90" w:type="dxa"/>
              <w:start w:w="110" w:type="dxa"/>
              <w:bottom w:w="90" w:type="dxa"/>
              <w:end w:w="110" w:type="dxa"/>
            </w:tcMar>
            <w:shd w:fill="F6F9FC"/>
          </w:tcPr>
          <w:p>
            <w:pPr>
              <w:spacing w:after="0" w:line="240" w:lineRule="auto"/>
            </w:pPr>
            <w:r>
              <w:rPr>
                <w:rFonts w:ascii="Arial" w:hAnsi="Arial"/>
                <w:sz w:val="18"/>
              </w:rPr>
              <w:t>[Tamamlanan işlem]</w:t>
            </w:r>
          </w:p>
        </w:tc>
        <w:tc>
          <w:tcPr>
            <w:tcW w:type="dxa" w:w="4579"/>
            <w:vAlign w:val="center"/>
            <w:tcMar>
              <w:top w:w="90" w:type="dxa"/>
              <w:start w:w="110" w:type="dxa"/>
              <w:bottom w:w="90" w:type="dxa"/>
              <w:end w:w="110" w:type="dxa"/>
            </w:tcMar>
            <w:shd w:fill="F6F9FC"/>
          </w:tcPr>
          <w:p>
            <w:pPr>
              <w:spacing w:after="0" w:line="240" w:lineRule="auto"/>
            </w:pPr>
            <w:r>
              <w:rPr>
                <w:rFonts w:ascii="Arial" w:hAnsi="Arial"/>
                <w:sz w:val="18"/>
              </w:rPr>
              <w:t>Yeni çağrı veya yeni bilirkişi ihtiyacı</w:t>
            </w:r>
          </w:p>
        </w:tc>
      </w:tr>
    </w:tbl>
    <w:p>
      <w:pPr>
        <w:spacing w:before="140" w:after="60"/>
        <w:keepNext/>
      </w:pPr>
      <w:r>
        <w:rPr>
          <w:rFonts w:ascii="Arial" w:hAnsi="Arial"/>
          <w:b/>
          <w:color w:val="000000"/>
          <w:sz w:val="22"/>
        </w:rPr>
        <w:t>CMK 71 ŞART KONTROLÜ</w:t>
      </w:r>
    </w:p>
    <w:tbl>
      <w:tblPr>
        <w:tblW w:type="auto" w:w="0"/>
        <w:jc w:val="center"/>
        <w:tblLayout w:type="fixed"/>
        <w:tblLook w:firstColumn="1" w:firstRow="1" w:lastColumn="0" w:lastRow="0" w:noHBand="0" w:noVBand="1" w:val="04A0"/>
        <w:tblBorders>
          <w:top w:val="single" w:sz="7" w:color="D9D9D9"/>
          <w:left w:val="single" w:sz="7" w:color="D9D9D9"/>
          <w:bottom w:val="single" w:sz="7" w:color="D9D9D9"/>
          <w:right w:val="single" w:sz="7" w:color="D9D9D9"/>
          <w:insideH w:val="single" w:sz="7" w:color="D9D9D9"/>
          <w:insideV w:val="single" w:sz="7" w:color="D9D9D9"/>
        </w:tblBorders>
      </w:tblPr>
      <w:tblGrid>
        <w:gridCol w:w="5227"/>
        <w:gridCol w:w="5227"/>
      </w:tblGrid>
      <w:tr>
        <w:trPr>
          <w:tblHeader w:val="true"/>
        </w:trPr>
        <w:tc>
          <w:tcPr>
            <w:tcW w:type="dxa" w:w="2952"/>
            <w:vAlign w:val="center"/>
            <w:tcMar>
              <w:top w:w="90" w:type="dxa"/>
              <w:start w:w="110" w:type="dxa"/>
              <w:bottom w:w="90" w:type="dxa"/>
              <w:end w:w="110" w:type="dxa"/>
            </w:tcMar>
            <w:shd w:fill="D9EAF7"/>
          </w:tcPr>
          <w:p>
            <w:pPr>
              <w:spacing w:after="0" w:line="240" w:lineRule="auto"/>
            </w:pPr>
            <w:r>
              <w:rPr>
                <w:rFonts w:ascii="Arial" w:hAnsi="Arial"/>
                <w:b/>
                <w:sz w:val="18"/>
              </w:rPr>
              <w:t>İncelenecek şart</w:t>
            </w:r>
          </w:p>
        </w:tc>
        <w:tc>
          <w:tcPr>
            <w:tcW w:type="dxa" w:w="7200"/>
            <w:vAlign w:val="center"/>
            <w:tcMar>
              <w:top w:w="90" w:type="dxa"/>
              <w:start w:w="110" w:type="dxa"/>
              <w:bottom w:w="90" w:type="dxa"/>
              <w:end w:w="110" w:type="dxa"/>
            </w:tcMar>
            <w:shd w:fill="D9EAF7"/>
          </w:tcPr>
          <w:p>
            <w:pPr>
              <w:spacing w:after="0" w:line="240" w:lineRule="auto"/>
            </w:pPr>
            <w:r>
              <w:rPr>
                <w:rFonts w:ascii="Arial" w:hAnsi="Arial"/>
                <w:b/>
                <w:sz w:val="18"/>
              </w:rPr>
              <w:t>Dayanak kayıt</w:t>
            </w:r>
          </w:p>
        </w:tc>
      </w:tr>
      <w:tr>
        <w:tc>
          <w:tcPr>
            <w:tcW w:type="dxa" w:w="2952"/>
            <w:vAlign w:val="center"/>
            <w:tcMar>
              <w:top w:w="90" w:type="dxa"/>
              <w:start w:w="110" w:type="dxa"/>
              <w:bottom w:w="90" w:type="dxa"/>
              <w:end w:w="110" w:type="dxa"/>
            </w:tcMar>
          </w:tcPr>
          <w:p>
            <w:pPr>
              <w:spacing w:after="0" w:line="240" w:lineRule="auto"/>
            </w:pPr>
            <w:r>
              <w:rPr>
                <w:rFonts w:ascii="Arial" w:hAnsi="Arial"/>
                <w:sz w:val="18"/>
              </w:rPr>
              <w:t>Bilirkişi sıfatı</w:t>
            </w:r>
          </w:p>
        </w:tc>
        <w:tc>
          <w:tcPr>
            <w:tcW w:type="dxa" w:w="7200"/>
            <w:vAlign w:val="center"/>
            <w:tcMar>
              <w:top w:w="90" w:type="dxa"/>
              <w:start w:w="110" w:type="dxa"/>
              <w:bottom w:w="90" w:type="dxa"/>
              <w:end w:w="110" w:type="dxa"/>
            </w:tcMar>
          </w:tcPr>
          <w:p>
            <w:pPr>
              <w:spacing w:after="0" w:line="240" w:lineRule="auto"/>
            </w:pPr>
            <w:r>
              <w:rPr>
                <w:rFonts w:ascii="Arial" w:hAnsi="Arial"/>
                <w:sz w:val="18"/>
              </w:rPr>
              <w:t>Görevlendirme kararı ve sicil kaydı</w:t>
            </w:r>
          </w:p>
        </w:tc>
      </w:tr>
      <w:tr>
        <w:tc>
          <w:tcPr>
            <w:tcW w:type="dxa" w:w="2952"/>
            <w:vAlign w:val="center"/>
            <w:tcMar>
              <w:top w:w="90" w:type="dxa"/>
              <w:start w:w="110" w:type="dxa"/>
              <w:bottom w:w="90" w:type="dxa"/>
              <w:end w:w="110" w:type="dxa"/>
            </w:tcMar>
            <w:shd w:fill="F6F9FC"/>
          </w:tcPr>
          <w:p>
            <w:pPr>
              <w:spacing w:after="0" w:line="240" w:lineRule="auto"/>
            </w:pPr>
            <w:r>
              <w:rPr>
                <w:rFonts w:ascii="Arial" w:hAnsi="Arial"/>
                <w:sz w:val="18"/>
              </w:rPr>
              <w:t>Usulüne uygun çağrı</w:t>
            </w:r>
          </w:p>
        </w:tc>
        <w:tc>
          <w:tcPr>
            <w:tcW w:type="dxa" w:w="7200"/>
            <w:vAlign w:val="center"/>
            <w:tcMar>
              <w:top w:w="90" w:type="dxa"/>
              <w:start w:w="110" w:type="dxa"/>
              <w:bottom w:w="90" w:type="dxa"/>
              <w:end w:w="110" w:type="dxa"/>
            </w:tcMar>
            <w:shd w:fill="F6F9FC"/>
          </w:tcPr>
          <w:p>
            <w:pPr>
              <w:spacing w:after="0" w:line="240" w:lineRule="auto"/>
            </w:pPr>
            <w:r>
              <w:rPr>
                <w:rFonts w:ascii="Arial" w:hAnsi="Arial"/>
                <w:sz w:val="18"/>
              </w:rPr>
              <w:t>Çağrı içeriği ve tebliğ belgesi</w:t>
            </w:r>
          </w:p>
        </w:tc>
      </w:tr>
      <w:tr>
        <w:tc>
          <w:tcPr>
            <w:tcW w:type="dxa" w:w="2952"/>
            <w:vAlign w:val="center"/>
            <w:tcMar>
              <w:top w:w="90" w:type="dxa"/>
              <w:start w:w="110" w:type="dxa"/>
              <w:bottom w:w="90" w:type="dxa"/>
              <w:end w:w="110" w:type="dxa"/>
            </w:tcMar>
          </w:tcPr>
          <w:p>
            <w:pPr>
              <w:spacing w:after="0" w:line="240" w:lineRule="auto"/>
            </w:pPr>
            <w:r>
              <w:rPr>
                <w:rFonts w:ascii="Arial" w:hAnsi="Arial"/>
                <w:sz w:val="18"/>
              </w:rPr>
              <w:t>Davranış</w:t>
            </w:r>
          </w:p>
        </w:tc>
        <w:tc>
          <w:tcPr>
            <w:tcW w:type="dxa" w:w="7200"/>
            <w:vAlign w:val="center"/>
            <w:tcMar>
              <w:top w:w="90" w:type="dxa"/>
              <w:start w:w="110" w:type="dxa"/>
              <w:bottom w:w="90" w:type="dxa"/>
              <w:end w:w="110" w:type="dxa"/>
            </w:tcMar>
          </w:tcPr>
          <w:p>
            <w:pPr>
              <w:spacing w:after="0" w:line="240" w:lineRule="auto"/>
            </w:pPr>
            <w:r>
              <w:rPr>
                <w:rFonts w:ascii="Arial" w:hAnsi="Arial"/>
                <w:sz w:val="18"/>
              </w:rPr>
              <w:t>Gelmeme veya gelip yemin, oy ya da görüşten çekinme tutanağı</w:t>
            </w:r>
          </w:p>
        </w:tc>
      </w:tr>
      <w:tr>
        <w:tc>
          <w:tcPr>
            <w:tcW w:type="dxa" w:w="2952"/>
            <w:vAlign w:val="center"/>
            <w:tcMar>
              <w:top w:w="90" w:type="dxa"/>
              <w:start w:w="110" w:type="dxa"/>
              <w:bottom w:w="90" w:type="dxa"/>
              <w:end w:w="110" w:type="dxa"/>
            </w:tcMar>
            <w:shd w:fill="F6F9FC"/>
          </w:tcPr>
          <w:p>
            <w:pPr>
              <w:spacing w:after="0" w:line="240" w:lineRule="auto"/>
            </w:pPr>
            <w:r>
              <w:rPr>
                <w:rFonts w:ascii="Arial" w:hAnsi="Arial"/>
                <w:sz w:val="18"/>
              </w:rPr>
              <w:t>Yasal sebep</w:t>
            </w:r>
          </w:p>
        </w:tc>
        <w:tc>
          <w:tcPr>
            <w:tcW w:type="dxa" w:w="7200"/>
            <w:vAlign w:val="center"/>
            <w:tcMar>
              <w:top w:w="90" w:type="dxa"/>
              <w:start w:w="110" w:type="dxa"/>
              <w:bottom w:w="90" w:type="dxa"/>
              <w:end w:w="110" w:type="dxa"/>
            </w:tcMar>
            <w:shd w:fill="F6F9FC"/>
          </w:tcPr>
          <w:p>
            <w:pPr>
              <w:spacing w:after="0" w:line="240" w:lineRule="auto"/>
            </w:pPr>
            <w:r>
              <w:rPr>
                <w:rFonts w:ascii="Arial" w:hAnsi="Arial"/>
                <w:sz w:val="18"/>
              </w:rPr>
              <w:t>CMK m.70, uzmanlık alanı ve mazeret belgeleri</w:t>
            </w:r>
          </w:p>
        </w:tc>
      </w:tr>
      <w:tr>
        <w:tc>
          <w:tcPr>
            <w:tcW w:type="dxa" w:w="2952"/>
            <w:vAlign w:val="center"/>
            <w:tcMar>
              <w:top w:w="90" w:type="dxa"/>
              <w:start w:w="110" w:type="dxa"/>
              <w:bottom w:w="90" w:type="dxa"/>
              <w:end w:w="110" w:type="dxa"/>
            </w:tcMar>
          </w:tcPr>
          <w:p>
            <w:pPr>
              <w:spacing w:after="0" w:line="240" w:lineRule="auto"/>
            </w:pPr>
            <w:r>
              <w:rPr>
                <w:rFonts w:ascii="Arial" w:hAnsi="Arial"/>
                <w:sz w:val="18"/>
              </w:rPr>
              <w:t>CMK 60/1</w:t>
            </w:r>
          </w:p>
        </w:tc>
        <w:tc>
          <w:tcPr>
            <w:tcW w:type="dxa" w:w="7200"/>
            <w:vAlign w:val="center"/>
            <w:tcMar>
              <w:top w:w="90" w:type="dxa"/>
              <w:start w:w="110" w:type="dxa"/>
              <w:bottom w:w="90" w:type="dxa"/>
              <w:end w:w="110" w:type="dxa"/>
            </w:tcMar>
          </w:tcPr>
          <w:p>
            <w:pPr>
              <w:spacing w:after="0" w:line="240" w:lineRule="auto"/>
            </w:pPr>
            <w:r>
              <w:rPr>
                <w:rFonts w:ascii="Arial" w:hAnsi="Arial"/>
                <w:sz w:val="18"/>
              </w:rPr>
              <w:t>Gider, disiplin hapsinin amacı ve üst sınırı; sonradan uyma</w:t>
            </w:r>
          </w:p>
        </w:tc>
      </w:tr>
      <w:tr>
        <w:tc>
          <w:tcPr>
            <w:tcW w:type="dxa" w:w="2952"/>
            <w:vAlign w:val="center"/>
            <w:tcMar>
              <w:top w:w="90" w:type="dxa"/>
              <w:start w:w="110" w:type="dxa"/>
              <w:bottom w:w="90" w:type="dxa"/>
              <w:end w:w="110" w:type="dxa"/>
            </w:tcMar>
            <w:shd w:fill="F6F9FC"/>
          </w:tcPr>
          <w:p>
            <w:pPr>
              <w:spacing w:after="0" w:line="240" w:lineRule="auto"/>
            </w:pPr>
            <w:r>
              <w:rPr>
                <w:rFonts w:ascii="Arial" w:hAnsi="Arial"/>
                <w:sz w:val="18"/>
              </w:rPr>
              <w:t>Bölge kurulu</w:t>
            </w:r>
          </w:p>
        </w:tc>
        <w:tc>
          <w:tcPr>
            <w:tcW w:type="dxa" w:w="7200"/>
            <w:vAlign w:val="center"/>
            <w:tcMar>
              <w:top w:w="90" w:type="dxa"/>
              <w:start w:w="110" w:type="dxa"/>
              <w:bottom w:w="90" w:type="dxa"/>
              <w:end w:w="110" w:type="dxa"/>
            </w:tcMar>
            <w:shd w:fill="F6F9FC"/>
          </w:tcPr>
          <w:p>
            <w:pPr>
              <w:spacing w:after="0" w:line="240" w:lineRule="auto"/>
            </w:pPr>
            <w:r>
              <w:rPr>
                <w:rFonts w:ascii="Arial" w:hAnsi="Arial"/>
                <w:sz w:val="18"/>
              </w:rPr>
              <w:t>CMK m.71 uyarınca karar ve ekleriyle bildirim</w:t>
            </w:r>
          </w:p>
        </w:tc>
      </w:tr>
      <w:tr>
        <w:tc>
          <w:tcPr>
            <w:tcW w:type="dxa" w:w="2952"/>
            <w:vAlign w:val="center"/>
            <w:tcMar>
              <w:top w:w="90" w:type="dxa"/>
              <w:start w:w="110" w:type="dxa"/>
              <w:bottom w:w="90" w:type="dxa"/>
              <w:end w:w="110" w:type="dxa"/>
            </w:tcMar>
          </w:tcPr>
          <w:p>
            <w:pPr>
              <w:spacing w:after="0" w:line="240" w:lineRule="auto"/>
            </w:pPr>
            <w:r>
              <w:rPr>
                <w:rFonts w:ascii="Arial" w:hAnsi="Arial"/>
                <w:sz w:val="18"/>
              </w:rPr>
              <w:t>Yargılamanın devamı</w:t>
            </w:r>
          </w:p>
        </w:tc>
        <w:tc>
          <w:tcPr>
            <w:tcW w:type="dxa" w:w="7200"/>
            <w:vAlign w:val="center"/>
            <w:tcMar>
              <w:top w:w="90" w:type="dxa"/>
              <w:start w:w="110" w:type="dxa"/>
              <w:bottom w:w="90" w:type="dxa"/>
              <w:end w:w="110" w:type="dxa"/>
            </w:tcMar>
          </w:tcPr>
          <w:p>
            <w:pPr>
              <w:spacing w:after="0" w:line="240" w:lineRule="auto"/>
            </w:pPr>
            <w:r>
              <w:rPr>
                <w:rFonts w:ascii="Arial" w:hAnsi="Arial"/>
                <w:sz w:val="18"/>
              </w:rPr>
              <w:t>Yeniden çağrı veya yeni bilirkişi hakkında açık ara karar</w:t>
            </w:r>
          </w:p>
        </w:tc>
      </w:tr>
    </w:tbl>
    <w:p>
      <w:pPr>
        <w:spacing w:before="140" w:after="60"/>
        <w:keepNext/>
      </w:pPr>
      <w:r>
        <w:rPr>
          <w:rFonts w:ascii="Arial" w:hAnsi="Arial"/>
          <w:b/>
          <w:color w:val="000000"/>
          <w:sz w:val="22"/>
        </w:rPr>
        <w:t>HUKUKİ NEDENLER</w:t>
      </w:r>
    </w:p>
    <w:p>
      <w:pPr>
        <w:spacing w:after="60" w:line="247" w:lineRule="auto"/>
        <w:jc w:val="both"/>
      </w:pPr>
      <w:r>
        <w:rPr>
          <w:rFonts w:ascii="Arial" w:hAnsi="Arial"/>
          <w:sz w:val="20"/>
        </w:rPr>
        <w:t>5271 sayılı Ceza Muhakemesi Kanunu m.60, 63, 64, 66, 70 ve 71; 6754 sayılı Bilirkişilik Kanunu ve ilgili bilirkişilik mevzuatı.</w:t>
      </w:r>
    </w:p>
    <w:p>
      <w:pPr>
        <w:spacing w:before="140" w:after="60"/>
        <w:keepNext/>
      </w:pPr>
      <w:r>
        <w:rPr>
          <w:rFonts w:ascii="Arial" w:hAnsi="Arial"/>
          <w:b/>
          <w:color w:val="000000"/>
          <w:sz w:val="22"/>
        </w:rPr>
        <w:t>DELİLLER</w:t>
      </w:r>
    </w:p>
    <w:p>
      <w:pPr>
        <w:spacing w:after="60" w:line="247" w:lineRule="auto"/>
        <w:jc w:val="both"/>
      </w:pPr>
      <w:r>
        <w:rPr>
          <w:rFonts w:ascii="Arial" w:hAnsi="Arial"/>
          <w:sz w:val="20"/>
        </w:rPr>
        <w:t>Görevlendirme kararı; çağrı belgesi; tebliğ mazbatası veya elektronik tebligat kaydı; duruşma, keşif ya da işlem tutanağı; UYAP evrak ve erişim kayıtları; mazeret dilekçesi ve ekleri varsa bunlar; ücret ve gider kayıtları; dosyadaki diğer belgeler.</w:t>
      </w:r>
    </w:p>
    <w:p>
      <w:r>
        <w:br w:type="page"/>
      </w:r>
    </w:p>
    <w:p>
      <w:pPr>
        <w:spacing w:before="140" w:after="60"/>
        <w:keepNext/>
      </w:pPr>
      <w:r>
        <w:rPr>
          <w:rFonts w:ascii="Arial" w:hAnsi="Arial"/>
          <w:b/>
          <w:color w:val="000000"/>
          <w:sz w:val="22"/>
        </w:rPr>
        <w:t>SONUÇ VE İSTEM</w:t>
      </w:r>
    </w:p>
    <w:p>
      <w:pPr>
        <w:spacing w:after="60" w:line="247" w:lineRule="auto"/>
        <w:jc w:val="both"/>
      </w:pPr>
      <w:r>
        <w:rPr>
          <w:b/>
        </w:rPr>
        <w:t xml:space="preserve">1. </w:t>
      </w:r>
      <w:r>
        <w:rPr>
          <w:rFonts w:ascii="Arial" w:hAnsi="Arial"/>
          <w:sz w:val="20"/>
        </w:rPr>
        <w:t>[Tarih] tarihli çağrının içeriği ve tebliğ kaydı ile bilirkişinin [gelmeme / gelip yemin, oy veya görüşten çekinme] davranışının dosya kayıtlarından tespitine,</w:t>
      </w:r>
    </w:p>
    <w:p>
      <w:pPr>
        <w:spacing w:after="60" w:line="247" w:lineRule="auto"/>
        <w:jc w:val="both"/>
      </w:pPr>
      <w:r>
        <w:rPr>
          <w:b/>
        </w:rPr>
        <w:t xml:space="preserve">2. </w:t>
      </w:r>
      <w:r>
        <w:rPr>
          <w:rFonts w:ascii="Arial" w:hAnsi="Arial"/>
          <w:sz w:val="20"/>
        </w:rPr>
        <w:t>Bilirkişinin bildirdiği mazeret veya çekinme sebebi varsa CMK m.70 ve somut belgeler yönünden incelenmesine; yasal sebep bulunmadığının tespiti hâlinde CMK m.71 atfıyla m.60/1 uyarınca yetkili merci tarafından işlem yapılmasına,</w:t>
      </w:r>
    </w:p>
    <w:p>
      <w:pPr>
        <w:spacing w:after="60" w:line="247" w:lineRule="auto"/>
        <w:jc w:val="both"/>
      </w:pPr>
      <w:r>
        <w:rPr>
          <w:b/>
        </w:rPr>
        <w:t xml:space="preserve">3. </w:t>
      </w:r>
      <w:r>
        <w:rPr>
          <w:rFonts w:ascii="Arial" w:hAnsi="Arial"/>
          <w:sz w:val="20"/>
        </w:rPr>
        <w:t>Yasal koşullar oluşmuşsa davranıştan doğan giderler hakkında karar verilmesine ve uygulanan tedbirde CMK m.60/1’deki amaç, üst sınır ve yükümlülük yerine getirildiğinde derhâl serbest bırakma kuralının gözetilmesine,</w:t>
      </w:r>
    </w:p>
    <w:p>
      <w:pPr>
        <w:spacing w:after="60" w:line="247" w:lineRule="auto"/>
        <w:jc w:val="both"/>
      </w:pPr>
      <w:r>
        <w:rPr>
          <w:b/>
        </w:rPr>
        <w:t xml:space="preserve">4. </w:t>
      </w:r>
      <w:r>
        <w:rPr>
          <w:rFonts w:ascii="Arial" w:hAnsi="Arial"/>
          <w:sz w:val="20"/>
        </w:rPr>
        <w:t>CMK m.71 uyarınca durumun görevlendirme, çağrı, tebliğ, tutanak, mazeret ve karar örnekleriyle yetkili bilirkişilik bölge kuruluna bildirilmesine,</w:t>
      </w:r>
    </w:p>
    <w:p>
      <w:pPr>
        <w:spacing w:after="60" w:line="247" w:lineRule="auto"/>
        <w:jc w:val="both"/>
      </w:pPr>
      <w:r>
        <w:rPr>
          <w:b/>
        </w:rPr>
        <w:t xml:space="preserve">5. </w:t>
      </w:r>
      <w:r>
        <w:rPr>
          <w:rFonts w:ascii="Arial" w:hAnsi="Arial"/>
          <w:sz w:val="20"/>
        </w:rPr>
        <w:t>Teknik incelemenin gecikmemesi için bilirkişinin yeniden çağrılması veya yeni bilirkişi görevlendirilmesi konusunda açık ara karar kurulmasına karar verilmesini saygıyla arz ve talep ederim.</w:t>
      </w:r>
    </w:p>
    <w:p>
      <w:pPr>
        <w:spacing w:before="100"/>
        <w:jc w:val="right"/>
      </w:pPr>
      <w:r>
        <w:rPr>
          <w:rFonts w:ascii="Arial" w:hAnsi="Arial"/>
          <w:b/>
          <w:sz w:val="21"/>
        </w:rPr>
        <w:t>[Tarih]</w:t>
        <w:br/>
        <w:t>Başvuran / Vekili</w:t>
        <w:br/>
        <w:t>Av. [Ad Soyad]</w:t>
        <w:br/>
        <w:t>(E-İMZALIDIR)</w:t>
      </w:r>
    </w:p>
    <w:p>
      <w:pPr>
        <w:spacing w:before="140" w:after="60"/>
        <w:keepNext/>
      </w:pPr>
      <w:r>
        <w:rPr>
          <w:rFonts w:ascii="Arial" w:hAnsi="Arial"/>
          <w:b/>
          <w:color w:val="000000"/>
          <w:sz w:val="22"/>
        </w:rPr>
        <w:t>EKLER</w:t>
      </w:r>
    </w:p>
    <w:p>
      <w:pPr>
        <w:pStyle w:val="ListBullet"/>
        <w:spacing w:after="30"/>
        <w:ind w:left="288" w:hanging="187"/>
      </w:pPr>
      <w:r>
        <w:rPr>
          <w:rFonts w:ascii="Arial" w:hAnsi="Arial"/>
          <w:sz w:val="20"/>
        </w:rPr>
        <w:t>Ek-1 Görevlendirme kararı</w:t>
      </w:r>
    </w:p>
    <w:p>
      <w:pPr>
        <w:pStyle w:val="ListBullet"/>
        <w:spacing w:after="30"/>
        <w:ind w:left="288" w:hanging="187"/>
      </w:pPr>
      <w:r>
        <w:rPr>
          <w:rFonts w:ascii="Arial" w:hAnsi="Arial"/>
          <w:sz w:val="20"/>
        </w:rPr>
        <w:t>Ek-2 Çağrı belgesi ve tebliğ kaydı</w:t>
      </w:r>
    </w:p>
    <w:p>
      <w:pPr>
        <w:pStyle w:val="ListBullet"/>
        <w:spacing w:after="30"/>
        <w:ind w:left="288" w:hanging="187"/>
      </w:pPr>
      <w:r>
        <w:rPr>
          <w:rFonts w:ascii="Arial" w:hAnsi="Arial"/>
          <w:sz w:val="20"/>
        </w:rPr>
        <w:t>Ek-3 Yokluk veya çekinme tutanağı</w:t>
      </w:r>
    </w:p>
    <w:p>
      <w:pPr>
        <w:pStyle w:val="ListBullet"/>
        <w:spacing w:after="30"/>
        <w:ind w:left="288" w:hanging="187"/>
      </w:pPr>
      <w:r>
        <w:rPr>
          <w:rFonts w:ascii="Arial" w:hAnsi="Arial"/>
          <w:sz w:val="20"/>
        </w:rPr>
        <w:t>Ek-4 Varsa mazeret dilekçesi ve ekleri</w:t>
      </w:r>
    </w:p>
    <w:p>
      <w:pPr>
        <w:pStyle w:val="ListBullet"/>
        <w:spacing w:after="30"/>
        <w:ind w:left="288" w:hanging="187"/>
      </w:pPr>
      <w:r>
        <w:rPr>
          <w:rFonts w:ascii="Arial" w:hAnsi="Arial"/>
          <w:sz w:val="20"/>
        </w:rPr>
        <w:t>Ek-5 UYAP evrak ve işlem kayıtları</w:t>
      </w:r>
    </w:p>
    <w:p>
      <w:pPr>
        <w:spacing w:before="140" w:after="60"/>
        <w:keepNext/>
      </w:pPr>
      <w:r>
        <w:rPr>
          <w:rFonts w:ascii="Arial" w:hAnsi="Arial"/>
          <w:b/>
          <w:color w:val="000000"/>
          <w:sz w:val="22"/>
        </w:rPr>
        <w:t>DOLDURMA KONTROLÜ</w:t>
      </w:r>
    </w:p>
    <w:p>
      <w:pPr>
        <w:spacing w:after="60" w:line="247" w:lineRule="auto"/>
        <w:jc w:val="both"/>
      </w:pPr>
      <w:r>
        <w:rPr>
          <w:rFonts w:ascii="Arial" w:hAnsi="Arial"/>
          <w:sz w:val="20"/>
        </w:rPr>
        <w:t>Köşeli alanları yalnız gerçek dosya kayıtlarıyla doldurun. Gelmeme ile rapor gecikmesini karıştırmayın. Mazeret ve çekinme belgelerini incelemeden kesin sonuç yazmayın. Kullanılmayan seçenekleri silin; ek numaralarını dilekçe metniyle eşleştirin ve bu kontrol bölümünü mahkemeye sunulan son nüshadan çıkarın.</w:t>
      </w:r>
    </w:p>
    <w:sectPr w:rsidR="00FC693F" w:rsidRPr="0006063C" w:rsidSect="00034616">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Usulünce Çağrılan Bilirkişinin Gelmemesi Nedeniyle İşlem Talebi</dc:title>
  <dc:subject>CMK 71 ve CMK 60/1 uyarınca düzenlenebilir dilekçe</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