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140"/>
        <w:jc w:val="center"/>
      </w:pPr>
      <w:r>
        <w:rPr>
          <w:rFonts w:ascii="Times New Roman" w:hAnsi="Times New Roman" w:eastAsia="Times New Roman"/>
          <w:b/>
          <w:sz w:val="24"/>
        </w:rPr>
        <w:t>[... CUMHURİYET BAŞSAVCILIĞINA / ... SULH CEZA HÂKİMLİĞİNE / ... CEZA MAHKEMESİNE]</w:t>
        <w:br/>
        <w:t>[Muayenenin yapılacağı sağlık kuruluşuna bildirilmek üzere]</w:t>
      </w:r>
    </w:p>
    <w:p>
      <w:pPr>
        <w:keepLines/>
      </w:pPr>
      <w:r>
        <w:rPr>
          <w:rFonts w:ascii="Times New Roman" w:hAnsi="Times New Roman" w:eastAsia="Times New Roman"/>
          <w:b/>
        </w:rPr>
        <w:t xml:space="preserve">DOSYA NO: </w:t>
      </w:r>
      <w:r>
        <w:rPr>
          <w:rFonts w:ascii="Times New Roman" w:hAnsi="Times New Roman" w:eastAsia="Times New Roman"/>
        </w:rPr>
        <w:t>[Soruşturma / değişik iş / esas numarası]</w:t>
      </w:r>
    </w:p>
    <w:p>
      <w:pPr>
        <w:keepLines/>
      </w:pPr>
      <w:r>
        <w:rPr>
          <w:rFonts w:ascii="Times New Roman" w:hAnsi="Times New Roman" w:eastAsia="Times New Roman"/>
          <w:b/>
        </w:rPr>
        <w:t xml:space="preserve">TALEPTE BULUNAN: </w:t>
      </w:r>
      <w:r>
        <w:rPr>
          <w:rFonts w:ascii="Times New Roman" w:hAnsi="Times New Roman" w:eastAsia="Times New Roman"/>
        </w:rPr>
        <w:t>[Muayene edilecek kadın; ad-soyad, sıfatı ve kimlik bilgisi]</w:t>
      </w:r>
    </w:p>
    <w:p>
      <w:pPr>
        <w:keepLines/>
      </w:pPr>
      <w:r>
        <w:rPr>
          <w:rFonts w:ascii="Times New Roman" w:hAnsi="Times New Roman" w:eastAsia="Times New Roman"/>
          <w:b/>
        </w:rPr>
        <w:t xml:space="preserve">MÜDAFİİ / VEKİLİ: </w:t>
      </w:r>
      <w:r>
        <w:rPr>
          <w:rFonts w:ascii="Times New Roman" w:hAnsi="Times New Roman" w:eastAsia="Times New Roman"/>
        </w:rPr>
        <w:t>[Varsa ad-soyad, baro ve sicil]</w:t>
      </w:r>
    </w:p>
    <w:p>
      <w:pPr>
        <w:keepLines/>
      </w:pPr>
      <w:r>
        <w:rPr>
          <w:rFonts w:ascii="Times New Roman" w:hAnsi="Times New Roman" w:eastAsia="Times New Roman"/>
          <w:b/>
        </w:rPr>
        <w:t xml:space="preserve">MUAYENE KARARI / SEVKİ: </w:t>
      </w:r>
      <w:r>
        <w:rPr>
          <w:rFonts w:ascii="Times New Roman" w:hAnsi="Times New Roman" w:eastAsia="Times New Roman"/>
        </w:rPr>
        <w:t>[Merci, tarih, numara ve sağlık kuruluşu]</w:t>
      </w:r>
    </w:p>
    <w:p>
      <w:pPr>
        <w:keepLines/>
      </w:pPr>
      <w:r>
        <w:rPr>
          <w:rFonts w:ascii="Times New Roman" w:hAnsi="Times New Roman" w:eastAsia="Times New Roman"/>
          <w:b/>
        </w:rPr>
        <w:t xml:space="preserve">MUAYENE TARİHİ: </w:t>
      </w:r>
      <w:r>
        <w:rPr>
          <w:rFonts w:ascii="Times New Roman" w:hAnsi="Times New Roman" w:eastAsia="Times New Roman"/>
        </w:rPr>
        <w:t>[Randevu/sevk kaydındaki tarih ve saat]</w:t>
      </w:r>
    </w:p>
    <w:p>
      <w:pPr>
        <w:keepLines/>
      </w:pPr>
      <w:r>
        <w:rPr>
          <w:rFonts w:ascii="Times New Roman" w:hAnsi="Times New Roman" w:eastAsia="Times New Roman"/>
          <w:b/>
        </w:rPr>
        <w:t xml:space="preserve">KONU: </w:t>
      </w:r>
      <w:r>
        <w:rPr>
          <w:rFonts w:ascii="Times New Roman" w:hAnsi="Times New Roman" w:eastAsia="Times New Roman"/>
        </w:rPr>
        <w:t>CMK m.77 ile Ceza Muhakemesinde Beden Muayenesi, Genetik İncelemeler ve Fizik Kimliğin Tespiti Hakkında Yönetmelik m.11 uyarınca muayenenin kadın hekim tarafından yapılması; istemin sevk ve sağlık kayıtlarına işlenmesi; kadın hekim sağlanamadığı ileri sürülürse somut olanaksızlığın ve yürütülen görevlendirme/ulaşma işlemlerinin tutanağa bağlanması ve muayenede başka bir kadın sağlık mesleği mensubunun hazır bulundurulması talebidir.</w:t>
      </w:r>
    </w:p>
    <w:p>
      <w:pPr>
        <w:pStyle w:val="Heading1"/>
        <w:keepNext/>
        <w:keepLines/>
      </w:pPr>
      <w:r>
        <w:rPr>
          <w:rFonts w:ascii="Times New Roman" w:hAnsi="Times New Roman" w:eastAsia="Times New Roman"/>
        </w:rPr>
        <w:t>AÇIKLAMALAR</w:t>
      </w:r>
    </w:p>
    <w:p>
      <w:pPr>
        <w:keepLines/>
        <w:ind w:firstLine="346"/>
      </w:pPr>
      <w:r>
        <w:rPr>
          <w:rFonts w:ascii="Times New Roman" w:hAnsi="Times New Roman" w:eastAsia="Times New Roman"/>
        </w:rPr>
        <w:t>1. [Merci] tarafından [tarih ve numara] ile tarafımın [muayenenin türü ve delil amacı] kapsamında muayene edilmesine karar verilmiş / [tarih] tarihli sevk düzenlenmiştir. Karar veya sevk Ek-1’de, muayene randevu bilgisi Ek-2’dedir. Talep, muayene başlamadan önce dosya makamına ve sağlık kuruluşuna bildirilmek üzere sunulmaktadır.</w:t>
      </w:r>
    </w:p>
    <w:p>
      <w:pPr>
        <w:keepLines/>
        <w:ind w:firstLine="346"/>
      </w:pPr>
      <w:r>
        <w:rPr>
          <w:rFonts w:ascii="Times New Roman" w:hAnsi="Times New Roman" w:eastAsia="Times New Roman"/>
        </w:rPr>
        <w:t>2. 5271 sayılı Ceza Muhakemesi Kanunu’nun 77. maddesi, kadının muayenesinin istemi hâlinde ve olanaklar elverdiğinde kadın hekim tarafından yapılacağını emredici biçimde düzenler. Bu dilekçe, kanundaki istem şartını açık ve ispatlanabilir biçimde yerine getirmektedir. İstem yalnız sözlü açıklamaya bırakılmamalı; dosya evrakına, sevk yazısına, hastane kabul kaydına ve muayene tutanağına işlenmelidir.</w:t>
      </w:r>
    </w:p>
    <w:p>
      <w:pPr>
        <w:keepLines/>
        <w:ind w:firstLine="346"/>
      </w:pPr>
      <w:r>
        <w:rPr>
          <w:rFonts w:ascii="Times New Roman" w:hAnsi="Times New Roman" w:eastAsia="Times New Roman"/>
        </w:rPr>
        <w:t>3. Ceza Muhakemesinde Beden Muayenesi, Genetik İncelemeler ve Fizik Kimliğin Tespiti Hakkında Yönetmelik’in 11. maddesi de aynı kuralı tekrarlar. Düzenleme ayrıca, istem bulunmasına rağmen olanakların elvermediği gerekçesiyle kadın hekim bulunamadığında, muayene sırasında hekimle birlikte başka bir kadın sağlık mesleği mensubunun bulundurulmasına özen gösterilmesini öngörür.</w:t>
      </w:r>
    </w:p>
    <w:p>
      <w:pPr>
        <w:keepLines/>
        <w:ind w:firstLine="346"/>
      </w:pPr>
      <w:r>
        <w:rPr>
          <w:rFonts w:ascii="Times New Roman" w:hAnsi="Times New Roman" w:eastAsia="Times New Roman"/>
        </w:rPr>
        <w:t>4. Muayene [sağlık kuruluşu] bünyesinde [tarih/saat] için planlanmıştır. Kadın hekim talebinin karşılanıp karşılanamayacağı; ilgili uzmanlık birimindeki nöbet/görev çizelgesi, aynı kurum veya sevk zincirindeki kadın hekim varlığı, muayenenin ertelenmesinin delil güvenliğine somut etkisi ve başka kuruma sevk olanağı esas alınarak değerlendirilmelidir. Soyut biçimde ‘personel yoktur’ denilmesi yerine yapılan araştırma ve ulaşılamayan imkânlar kayda geçirilmelidir.</w:t>
      </w:r>
    </w:p>
    <w:p>
      <w:pPr>
        <w:keepLines/>
        <w:ind w:firstLine="346"/>
      </w:pPr>
      <w:r>
        <w:rPr>
          <w:rFonts w:ascii="Times New Roman" w:hAnsi="Times New Roman" w:eastAsia="Times New Roman"/>
        </w:rPr>
        <w:t>5. Talebin kabulü, muayene kararının kanuni dayanağını veya kapsamını genişletmez. Muayene yalnız kararda/sevkte gösterilen amaç ve sınırlar içinde yürütülmeli; kişinin mahremiyeti korunmalı; görevli olmayan kişiler ortamdan çıkarılmalı ve düzenlenen raporun kimlere teslim edildiği kayda alınmalıdır. CMK m.75-76’daki karar, rıza, sağlık güvenliği ve görevli kişi şartları ayrıca saklıdır.</w:t>
      </w:r>
    </w:p>
    <w:p>
      <w:pPr>
        <w:keepLines/>
        <w:ind w:firstLine="346"/>
      </w:pPr>
      <w:r>
        <w:rPr>
          <w:rFonts w:ascii="Times New Roman" w:hAnsi="Times New Roman" w:eastAsia="Times New Roman"/>
        </w:rPr>
        <w:t>6. [Başvuru sahibi şüpheli/sanık ise:] İç beden muayenesi veya vücuttan örnek alma işlemi CMK m.75’teki şartlara uygun karara dayanmalıdır. [Başvuru sahibi mağdur/diğer kişi ise:] İşlem CMK m.76 kapsamındaki karar veya mağdurun kanuni rızası çerçevesinde değerlendirilmelidir. Kadın hekim istemi, karar ya da rıza denetiminin yerine geçmez; yalnız muayeneyi yapacak hekimin cinsiyetine ilişkin CMK m.77 güvencesini işletir.</w:t>
      </w:r>
    </w:p>
    <w:p>
      <w:pPr>
        <w:keepLines/>
        <w:ind w:firstLine="346"/>
      </w:pPr>
      <w:r>
        <w:rPr>
          <w:rFonts w:ascii="Times New Roman" w:hAnsi="Times New Roman" w:eastAsia="Times New Roman"/>
        </w:rPr>
        <w:t>7. Muayene tedavi amacı taşıyorsa Yönetmelik m.19 uyarınca ceza muhakemesindeki karar şartları uygulanmaz; ancak bu dilekçenin konusu [delil elde etme amacıyla düzenlenen karar/sevk]tir. İşlemin tedavi amacıyla yapıldığı ileri sürülüyorsa amaç, istem, onam ve tıbbi kayıtlar birbirinden ayrılarak gösterilmelidir.</w:t>
      </w:r>
    </w:p>
    <w:p>
      <w:pPr>
        <w:keepLines/>
        <w:ind w:firstLine="346"/>
      </w:pPr>
      <w:r>
        <w:rPr>
          <w:rFonts w:ascii="Times New Roman" w:hAnsi="Times New Roman" w:eastAsia="Times New Roman"/>
        </w:rPr>
        <w:t>8. Kadın hekim sağlanabildiğinde muayenenin kadın hekimce yapılmasına; sağlanamadığı ileri sürülürse görevlendirme araştırmasının, kurum ve saat bilgilerinin, talebin neden karşılanamadığının ve başka kuruma sevk değerlendirmesinin imzalı tutanakla belirlenmesine; bu durumda Yönetmelik m.11 uyarınca muayene sırasında başka bir kadın sağlık mesleği mensubunun hazır bulundurulmasına karar verilmesi istenmektedir.</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m.17 ve 20; 5271 sayılı Ceza Muhakemesi Kanunu m.75-77 ve 82; Ceza Muhakemesinde Beden Muayenesi, Genetik İncelemeler ve Fizik Kimliğin Tespiti Hakkında Yönetmelik m.4-11, 18-20 ve ilgili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muayene kararı veya sevk yazısı; Ek-2 randevu/çağrı bilgisi; Ek-3 daha önce yapılan yazılı veya elektronik istem ve teslim kaydı; Ek-4 varsa sağlık kuruluşu cevabı, personel/görev kaydı ve tutanak; Ek-5 vekâletname veya müdafilik belgesi; dosyadaki diğer hukuka uygun kayıtlar.</w:t>
      </w:r>
    </w:p>
    <w:p>
      <w:pPr>
        <w:pStyle w:val="Heading1"/>
        <w:keepNext/>
        <w:keepLines/>
      </w:pPr>
      <w:r>
        <w:rPr>
          <w:rFonts w:ascii="Times New Roman" w:hAnsi="Times New Roman" w:eastAsia="Times New Roman"/>
        </w:rPr>
        <w:t>SONUÇ VE İSTEM</w:t>
      </w:r>
    </w:p>
    <w:p>
      <w:pPr>
        <w:keepLines/>
        <w:ind w:firstLine="346"/>
      </w:pPr>
      <w:r>
        <w:rPr>
          <w:rFonts w:ascii="Times New Roman" w:hAnsi="Times New Roman" w:eastAsia="Times New Roman"/>
        </w:rPr>
        <w:t>Açıklanan nedenlerle; kadın hekim istemimin CMK m.77 ve Yönetmelik m.11 uyarınca kabul edilerek muayenenin kadın hekim tarafından yapılmasına; istemin muayene kararı/sevk yazısı ile sağlık kuruluşunun kabul ve muayene kayıtlarına işlenmesine; kadın hekim bulunamadığı ileri sürülürse somut olanaksızlığın, yapılan görevlendirme ve sevk araştırmasının imzalı tutanakla belirlenmesine; bu durumda Yönetmelik m.11 uyarınca muayene sırasında hekimle birlikte başka bir kadın sağlık mesleği mensubunun hazır bulundurulmasına; mahremiyetin korunmasına ve işlem kapsamının karar/sevk ile sınırlı tutulmasına karar verilmesini saygıyla talep ederim. [Tarih]</w:t>
      </w:r>
    </w:p>
    <w:p>
      <w:pPr>
        <w:jc w:val="right"/>
      </w:pPr>
      <w:r>
        <w:rPr>
          <w:rFonts w:ascii="Times New Roman" w:hAnsi="Times New Roman" w:eastAsia="Times New Roman"/>
          <w:b/>
        </w:rPr>
        <w:t>[İmza]</w:t>
        <w:br/>
        <w:t>[Ad-soyad]</w:t>
      </w:r>
    </w:p>
    <w:p>
      <w:pPr>
        <w:pStyle w:val="Heading1"/>
        <w:keepNext/>
        <w:keepLines/>
      </w:pPr>
      <w:r>
        <w:rPr>
          <w:rFonts w:ascii="Times New Roman" w:hAnsi="Times New Roman" w:eastAsia="Times New Roman"/>
        </w:rPr>
        <w:t>UYARLAMA KONTROLÜ</w:t>
      </w:r>
    </w:p>
    <w:p>
      <w:pPr>
        <w:keepLines/>
      </w:pPr>
      <w:r>
        <w:rPr>
          <w:rFonts w:ascii="Times New Roman" w:hAnsi="Times New Roman" w:eastAsia="Times New Roman"/>
        </w:rPr>
        <w:t>• Dosya sıfatını, karar/sevk tarih ve numarasını gerçek kayda göre doldurun.</w:t>
      </w:r>
    </w:p>
    <w:p>
      <w:pPr>
        <w:keepLines/>
      </w:pPr>
      <w:r>
        <w:rPr>
          <w:rFonts w:ascii="Times New Roman" w:hAnsi="Times New Roman" w:eastAsia="Times New Roman"/>
        </w:rPr>
        <w:t>• Muayenenin delil amacıyla mı tedavi amacıyla mı yapıldığını açıkça ayırın.</w:t>
      </w:r>
    </w:p>
    <w:p>
      <w:pPr>
        <w:keepLines/>
      </w:pPr>
      <w:r>
        <w:rPr>
          <w:rFonts w:ascii="Times New Roman" w:hAnsi="Times New Roman" w:eastAsia="Times New Roman"/>
        </w:rPr>
        <w:t>• Dilekçeyi muayeneden önce hem dosya makamına hem sağlık kuruluşuna teslim edin.</w:t>
      </w:r>
    </w:p>
    <w:p>
      <w:pPr>
        <w:keepLines/>
      </w:pPr>
      <w:r>
        <w:rPr>
          <w:rFonts w:ascii="Times New Roman" w:hAnsi="Times New Roman" w:eastAsia="Times New Roman"/>
        </w:rPr>
        <w:t>• Talebin sevk, kabul ve muayene tutanağına yazılmasını ayrıca isteyin.</w:t>
      </w:r>
    </w:p>
    <w:p>
      <w:pPr>
        <w:keepLines/>
      </w:pPr>
      <w:r>
        <w:rPr>
          <w:rFonts w:ascii="Times New Roman" w:hAnsi="Times New Roman" w:eastAsia="Times New Roman"/>
        </w:rPr>
        <w:t>• Kadın hekim yokluğu ileri sürülürse kurum, saat, görev çizelgesi ve sevk araştırmasının kaydını talep edin.</w:t>
      </w:r>
    </w:p>
    <w:p>
      <w:pPr>
        <w:keepLines/>
      </w:pPr>
      <w:r>
        <w:rPr>
          <w:rFonts w:ascii="Times New Roman" w:hAnsi="Times New Roman" w:eastAsia="Times New Roman"/>
        </w:rPr>
        <w:t>• Dosyanıza uymayan şüpheli/sanık veya mağdur seçeneklerini silin.</w:t>
      </w:r>
    </w:p>
    <w:p>
      <w:pPr>
        <w:keepLines/>
      </w:pPr>
      <w:r>
        <w:rPr>
          <w:rFonts w:ascii="Times New Roman" w:hAnsi="Times New Roman" w:eastAsia="Times New Roman"/>
        </w:rPr>
        <w:t>• Bulunmayan belgeyi ek listesinde bırakmayın; ilgisiz kişisel verileri karartın.</w:t>
      </w:r>
    </w:p>
    <w:sectPr w:rsidR="00FC693F" w:rsidRPr="0006063C" w:rsidSect="00034616">
      <w:footerReference w:type="default" r:id="rId9"/>
      <w:pgSz w:w="12240" w:h="15840"/>
      <w:pgMar w:top="835" w:right="1008" w:bottom="80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5"/>
      </w:rPr>
      <w:t>CMK 77 · Kadın Hekim Tarafından Muayene Talebi · Düzenlenebilir Örnek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Times New Roman" w:hAnsi="Times New Roman" w:eastAsia="Times New Roman"/>
      <w:b/>
      <w:bCs/>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