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Georgia" w:hAnsi="Georgia"/>
          <w:b/>
          <w:sz w:val="26"/>
        </w:rPr>
        <w:t>… SULH CEZA HÂKİMLİĞİNE / … CEZA MAHKEMESİNE</w:t>
      </w:r>
    </w:p>
    <w:p>
      <w:pPr>
        <w:spacing w:after="140"/>
        <w:jc w:val="center"/>
      </w:pPr>
      <w:r>
        <w:rPr>
          <w:rFonts w:ascii="Georgia" w:hAnsi="Georgia"/>
          <w:b/>
        </w:rPr>
        <w:t>Moleküler genetik incelemenin CMK 78'deki kanuni amaçlarla sınırlandırılması talebidir</w:t>
      </w:r>
    </w:p>
    <w:p>
      <w:pPr>
        <w:keepLines/>
      </w:pPr>
      <w:r>
        <w:rPr>
          <w:rFonts w:ascii="Georgia" w:hAnsi="Georgia"/>
          <w:b/>
        </w:rPr>
        <w:t xml:space="preserve">DOSYA NO: </w:t>
      </w:r>
      <w:r>
        <w:rPr>
          <w:rFonts w:ascii="Georgia" w:hAnsi="Georgia"/>
        </w:rPr>
        <w:t>[Soruşturma / değişik iş / esas numarası]</w:t>
      </w:r>
    </w:p>
    <w:p>
      <w:pPr>
        <w:keepLines/>
      </w:pPr>
      <w:r>
        <w:rPr>
          <w:rFonts w:ascii="Georgia" w:hAnsi="Georgia"/>
          <w:b/>
        </w:rPr>
        <w:t xml:space="preserve">TALEPTE BULUNAN: </w:t>
      </w:r>
      <w:r>
        <w:rPr>
          <w:rFonts w:ascii="Georgia" w:hAnsi="Georgia"/>
        </w:rPr>
        <w:t>[Şüpheli / sanık / mağdur / diğer kişi; ad soyad ve sıfat]</w:t>
      </w:r>
    </w:p>
    <w:p>
      <w:pPr>
        <w:keepLines/>
      </w:pPr>
      <w:r>
        <w:rPr>
          <w:rFonts w:ascii="Georgia" w:hAnsi="Georgia"/>
          <w:b/>
        </w:rPr>
        <w:t xml:space="preserve">MÜDAFİİ / VEKİLİ: </w:t>
      </w:r>
      <w:r>
        <w:rPr>
          <w:rFonts w:ascii="Georgia" w:hAnsi="Georgia"/>
        </w:rPr>
        <w:t>[Varsa avukat, baro ve sicil bilgisi]</w:t>
      </w:r>
    </w:p>
    <w:p>
      <w:pPr>
        <w:keepLines/>
      </w:pPr>
      <w:r>
        <w:rPr>
          <w:rFonts w:ascii="Georgia" w:hAnsi="Georgia"/>
          <w:b/>
        </w:rPr>
        <w:t xml:space="preserve">İNCELEME KARARI: </w:t>
      </w:r>
      <w:r>
        <w:rPr>
          <w:rFonts w:ascii="Georgia" w:hAnsi="Georgia"/>
        </w:rPr>
        <w:t>[… tarihli ve … sayılı hâkim / mahkeme kararı]</w:t>
      </w:r>
    </w:p>
    <w:p>
      <w:pPr>
        <w:keepLines/>
      </w:pPr>
      <w:r>
        <w:rPr>
          <w:rFonts w:ascii="Georgia" w:hAnsi="Georgia"/>
          <w:b/>
        </w:rPr>
        <w:t xml:space="preserve">İTİRAZ EDİLEN BÖLÜM: </w:t>
      </w:r>
      <w:r>
        <w:rPr>
          <w:rFonts w:ascii="Georgia" w:hAnsi="Georgia"/>
        </w:rPr>
        <w:t>[Karar, müzekkere veya laboratuvar iş emrindeki amaç dışı soru; sayfa ve paragraf]</w:t>
      </w:r>
    </w:p>
    <w:p>
      <w:pPr>
        <w:keepLines/>
      </w:pPr>
      <w:r>
        <w:rPr>
          <w:rFonts w:ascii="Georgia" w:hAnsi="Georgia"/>
          <w:b/>
        </w:rPr>
        <w:t xml:space="preserve">KONU: </w:t>
      </w:r>
      <w:r>
        <w:rPr>
          <w:rFonts w:ascii="Georgia" w:hAnsi="Georgia"/>
        </w:rPr>
        <w:t>CMK m.78 ve Beden Muayenesi Yönetmeliği m.12 uyarınca moleküler genetik incelemenin yalnız soybağının veya bulgunun şüpheli, sanık ya da mağdura ait olup olmadığının tespitiyle sınırlandırılması; bu amaçların dışındaki soruların karar ve iş emrinden çıkarılması; uygun sınır yazılıncaya kadar amaç dışı analizin yapılmaması talebidir.</w:t>
      </w:r>
    </w:p>
    <w:p>
      <w:pPr>
        <w:pStyle w:val="Heading1"/>
        <w:keepNext/>
      </w:pPr>
      <w:r>
        <w:rPr>
          <w:rFonts w:ascii="Georgia" w:hAnsi="Georgia"/>
          <w:b/>
          <w:sz w:val="24"/>
        </w:rPr>
        <w:t>AÇIKLAMALAR</w:t>
      </w:r>
    </w:p>
    <w:p>
      <w:pPr>
        <w:keepLines/>
        <w:ind w:firstLine="490"/>
      </w:pPr>
      <w:r>
        <w:rPr>
          <w:rFonts w:ascii="Georgia" w:hAnsi="Georgia"/>
          <w:b/>
        </w:rPr>
        <w:t xml:space="preserve">1. </w:t>
      </w:r>
      <w:r>
        <w:rPr>
          <w:rFonts w:ascii="Georgia" w:hAnsi="Georgia"/>
        </w:rPr>
        <w:t>… tarihli kararla [şüpheli / sanık / mağdur / diğer kişi] bedeninden alınan [kan / tükürük / saç kökü / diğer biyolojik örnek] ile [olay yeri bulgusu / karşılaştırma örneği] üzerinde moleküler genetik inceleme yapılmasına karar verilmiştir. Kararın tam örneği Ek-1'de, örnek alma ve mühürleme tutanağı Ek-2'de, laboratuvara gönderilen soru listesi veya iş emri Ek-3'tedir.</w:t>
      </w:r>
    </w:p>
    <w:p>
      <w:pPr>
        <w:keepLines/>
        <w:ind w:firstLine="490"/>
      </w:pPr>
      <w:r>
        <w:rPr>
          <w:rFonts w:ascii="Georgia" w:hAnsi="Georgia"/>
          <w:b/>
        </w:rPr>
        <w:t xml:space="preserve">2. </w:t>
      </w:r>
      <w:r>
        <w:rPr>
          <w:rFonts w:ascii="Georgia" w:hAnsi="Georgia"/>
        </w:rPr>
        <w:t>5271 sayılı Ceza Muhakemesi Kanunu'nun 78/1. maddesi, 75 ve 76. maddelere göre alınan örnekler üzerinde moleküler genetik incelemeyi yalnız soybağının veya elde edilen bulgunun şüpheli, sanık ya da mağdura ait olup olmadığının tespiti için zorunlu olması hâlinde kabul eder. Aynı fıkranın son cümlesi, bu amaçlar dışında tespit yapılmasını kesin olarak yasaklar. Yasak, raporun nasıl kullanılacağından önce; laboratuvara hangi soruların yöneltilebileceğini sınırlar.</w:t>
      </w:r>
    </w:p>
    <w:p>
      <w:pPr>
        <w:keepLines/>
        <w:ind w:firstLine="490"/>
      </w:pPr>
      <w:r>
        <w:rPr>
          <w:rFonts w:ascii="Georgia" w:hAnsi="Georgia"/>
          <w:b/>
        </w:rPr>
        <w:t xml:space="preserve">3. </w:t>
      </w:r>
      <w:r>
        <w:rPr>
          <w:rFonts w:ascii="Georgia" w:hAnsi="Georgia"/>
        </w:rPr>
        <w:t>Beden Muayenesi Yönetmeliği'nin 12. maddesi aynı iki amacı tekrar eder ve bu amaçların dışındaki incelemelerin yasak olduğunu düzenler. CMK m.79/2 ise yasak incelemelerin ve yetkisiz erişimin önlenmesi için gerekli örgütsel ve teknik tedbirlerin alınmasını emreder. Bu nedenle hâkim kararı, müzekkere, laboratuvar kabul formu ve teknik iş emri birbirine uygun, dar ve denetlenebilir bir soru listesi içermelidir.</w:t>
      </w:r>
    </w:p>
    <w:p>
      <w:pPr>
        <w:keepLines/>
        <w:ind w:firstLine="490"/>
      </w:pPr>
      <w:r>
        <w:rPr>
          <w:rFonts w:ascii="Georgia" w:hAnsi="Georgia"/>
          <w:b/>
        </w:rPr>
        <w:t xml:space="preserve">4. </w:t>
      </w:r>
      <w:r>
        <w:rPr>
          <w:rFonts w:ascii="Georgia" w:hAnsi="Georgia"/>
        </w:rPr>
        <w:t>Dosyadaki [belgenin adı ve tarihi] içinde '[amaç dışı soruyu aynen yazın]' sorusu yer almaktadır. Bu soru [hastalık yatkınlığı / etnik veya coğrafi köken / dış görünüş ya da kişisel özellik / soybağı ve aidiyet dışındaki başka bir genetik özellik] hakkında tespit istemektedir. Ek-3'te ilgili satır işaretlenmiştir. Bu paragrafta yalnız dosyada gerçekten yazılı olan soru bırakılmalı; laboratuvarın yapmadığı veya belgelendirilmeyen bir analiz varmış gibi beyanda bulunulmamalıdır.</w:t>
      </w:r>
    </w:p>
    <w:p>
      <w:pPr>
        <w:pStyle w:val="Heading1"/>
        <w:keepNext/>
      </w:pPr>
      <w:r>
        <w:rPr>
          <w:rFonts w:ascii="Georgia" w:hAnsi="Georgia"/>
          <w:b/>
          <w:sz w:val="24"/>
        </w:rPr>
        <w:t>KANUNİ AMAÇ VE SORU KAPSAMI DENETİMİ</w:t>
      </w:r>
    </w:p>
    <w:tbl>
      <w:tblPr>
        <w:tblW w:type="auto" w:w="0"/>
        <w:jc w:val="center"/>
        <w:tblLayout w:type="fixed"/>
        <w:tblLook w:firstColumn="1" w:firstRow="1" w:lastColumn="0" w:lastRow="0" w:noHBand="0" w:noVBand="1" w:val="04A0"/>
      </w:tblPr>
      <w:tblGrid>
        <w:gridCol w:w="2527"/>
        <w:gridCol w:w="2527"/>
        <w:gridCol w:w="2527"/>
        <w:gridCol w:w="2527"/>
      </w:tblGrid>
      <w:tr>
        <w:trPr>
          <w:tblHeader w:val="true"/>
        </w:trPr>
        <w:tc>
          <w:tcPr>
            <w:tcW w:type="dxa" w:w="3024"/>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Karar veya iş emrindeki soru</w:t>
            </w:r>
          </w:p>
        </w:tc>
        <w:tc>
          <w:tcPr>
            <w:tcW w:type="dxa" w:w="1800"/>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CMK 78 sonucu</w:t>
            </w:r>
          </w:p>
        </w:tc>
        <w:tc>
          <w:tcPr>
            <w:tcW w:type="dxa" w:w="2232"/>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Dosyadaki kayıt</w:t>
            </w:r>
          </w:p>
        </w:tc>
        <w:tc>
          <w:tcPr>
            <w:tcW w:type="dxa" w:w="3024"/>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pPr>
              <w:jc w:val="center"/>
            </w:pPr>
            <w:r>
              <w:rPr>
                <w:rFonts w:ascii="Georgia" w:hAnsi="Georgia"/>
                <w:b/>
                <w:color w:val="FFFFFF"/>
                <w:sz w:val="16"/>
              </w:rPr>
              <w:t>İstenen işlem</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Bulgunun şüpheli, sanık veya mağdura ait olup olmadığı</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İzin verilen amaç</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Gerekli karşılaştırmayla sınırla</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Soybağının belirlenmesi</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İzin verilen amaç</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Dosyada gerekliyse açıkça sınırla</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Hastalık veya kalıtsal yatkınlık</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Yasak amaç</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Soruyu ve ilgili analiz talimatını çıkar</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Etnik ya da coğrafi köken</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Yasak amaç</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Tespit ve raporlamayı engelle</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Dış görünüş veya kişisel özellik</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Yasak amaç</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tcPr>
          <w:p>
            <w:r>
              <w:rPr>
                <w:rFonts w:ascii="Georgia" w:hAnsi="Georgia"/>
                <w:sz w:val="16"/>
              </w:rPr>
              <w:t>İş emrini düzelt; veri üretme</w:t>
            </w:r>
          </w:p>
        </w:tc>
      </w:tr>
      <w:tr>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Soybağı/aidiyet dışındaki veri tabanı taraması</w:t>
            </w:r>
          </w:p>
        </w:tc>
        <w:tc>
          <w:tcPr>
            <w:tcW w:type="dxa" w:w="1800"/>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Kanuni amaç dışında</w:t>
            </w:r>
          </w:p>
        </w:tc>
        <w:tc>
          <w:tcPr>
            <w:tcW w:type="dxa" w:w="2232"/>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[Var / yok; satır]</w:t>
            </w:r>
          </w:p>
        </w:tc>
        <w:tc>
          <w:tcPr>
            <w:tcW w:type="dxa" w:w="3024"/>
            <w:vAlign w:val="center"/>
            <w:tcBorders>
              <w:top w:val="single" w:sz="6" w:color="D6DCE2"/>
              <w:left w:val="single" w:sz="6" w:color="D6DCE2"/>
              <w:bottom w:val="single" w:sz="6" w:color="D6DCE2"/>
              <w:right w:val="single" w:sz="6" w:color="D6DCE2"/>
              <w:insideH w:val="single" w:sz="6" w:color="D6DCE2"/>
              <w:insideV w:val="single" w:sz="6" w:color="D6DCE2"/>
            </w:tcBorders>
            <w:tcMar>
              <w:top w:w="72" w:type="dxa"/>
              <w:start w:w="92" w:type="dxa"/>
              <w:bottom w:w="72" w:type="dxa"/>
              <w:end w:w="92" w:type="dxa"/>
            </w:tcMar>
            <w:shd w:fill="F3F6F8"/>
          </w:tcPr>
          <w:p>
            <w:r>
              <w:rPr>
                <w:rFonts w:ascii="Georgia" w:hAnsi="Georgia"/>
                <w:sz w:val="16"/>
              </w:rPr>
              <w:t>Ayrı açık dayanak ve karar yoksa çıkar</w:t>
            </w:r>
          </w:p>
        </w:tc>
      </w:tr>
    </w:tbl>
    <w:p>
      <w:pPr>
        <w:keepLines/>
        <w:ind w:firstLine="490"/>
      </w:pPr>
      <w:r>
        <w:rPr>
          <w:rFonts w:ascii="Georgia" w:hAnsi="Georgia"/>
          <w:b/>
        </w:rPr>
        <w:t xml:space="preserve">5. </w:t>
      </w:r>
      <w:r>
        <w:rPr>
          <w:rFonts w:ascii="Georgia" w:hAnsi="Georgia"/>
        </w:rPr>
        <w:t>İnceleme amacı, kullanılacak bilimsel yöntemin adından farklıdır. 'DNA analizi', 'STR incelemesi' veya benzeri teknik ifadeler tek başına kanuni amacı göstermez. Kararda hangi örneklerin hangi örneklerle karşılaştırılacağı ve yalnız hangi hukuki sorunun cevaplanacağı belirlenmelidir. Bilirkişinin yöntemi seçme yetkisi, CMK m.78'in yasakladığı ek genetik özellikleri araştırma yetkisi vermez.</w:t>
      </w:r>
    </w:p>
    <w:p>
      <w:pPr>
        <w:keepLines/>
        <w:ind w:firstLine="490"/>
      </w:pPr>
      <w:r>
        <w:rPr>
          <w:rFonts w:ascii="Georgia" w:hAnsi="Georgia"/>
          <w:b/>
        </w:rPr>
        <w:t xml:space="preserve">6. </w:t>
      </w:r>
      <w:r>
        <w:rPr>
          <w:rFonts w:ascii="Georgia" w:hAnsi="Georgia"/>
        </w:rPr>
        <w:t>Amaç dışı soru hâkim kararında yer alıyorsa CMK m.267 ve m.268 uyarınca kararın öğrenildiği tarihten itibaren iki hafta içinde itiraz edilir. İtiraz, kural olarak kararın yerine getirilmesini kendiliğinden durdurmaz; CMK m.269/1 bu sonucu açıkça düzenler. Bu nedenle dilekçede, laboratuvarın geri dönülmez veri üretmesini önlemek için yasak sorular yönünden incelemenin bekletilmesi ayrıca ve açıkça talep edilmektedir.</w:t>
      </w:r>
    </w:p>
    <w:p>
      <w:pPr>
        <w:keepLines/>
        <w:ind w:firstLine="490"/>
      </w:pPr>
      <w:r>
        <w:rPr>
          <w:rFonts w:ascii="Georgia" w:hAnsi="Georgia"/>
          <w:b/>
        </w:rPr>
        <w:t xml:space="preserve">7. </w:t>
      </w:r>
      <w:r>
        <w:rPr>
          <w:rFonts w:ascii="Georgia" w:hAnsi="Georgia"/>
        </w:rPr>
        <w:t>Hâkim kararı yalnız CMK m.78'deki izinli amacı içerdiği hâlde savcılık müzekkeresi, teslim belgesi veya laboratuvar iş emri kapsamı genişletmişse, bulunmayan bir hâkim kararı aleyhine itiraz kurulmaz. Belgeyi düzenleyen dosya makamından soruların karara ve m.78'e uygun biçimde düzeltilmesi, laboratuvara yeni ve sınırlı görev yazısı gönderilmesi istenir. Soruşturma evresinde Cumhuriyet başsavcılığına, kovuşturma evresinde esas mahkemesine sunulan uygulama talebi bu ayrımı açıkça göstermelidir.</w:t>
      </w:r>
    </w:p>
    <w:p>
      <w:pPr>
        <w:keepLines/>
        <w:ind w:firstLine="490"/>
      </w:pPr>
      <w:r>
        <w:rPr>
          <w:rFonts w:ascii="Georgia" w:hAnsi="Georgia"/>
          <w:b/>
        </w:rPr>
        <w:t xml:space="preserve">8. </w:t>
      </w:r>
      <w:r>
        <w:rPr>
          <w:rFonts w:ascii="Georgia" w:hAnsi="Georgia"/>
        </w:rPr>
        <w:t>Analiz başlamamışsa yasak sorular iş emrinden çıkarılmalı ve bilirkişiye yalnız izinli karşılaştırmayı içeren yeni yazı gönderilmelidir. Analiz başlamışsa hangi veri alanlarının üretildiği, kimlerin eriştiği, ara çıktı veya ham veri bulunup bulunmadığı resmî kayıttan sorulmalıdır. Henüz amaç dışı veri üretilmemişse bunun yazılı teyidi; üretilmişse erişimin durdurulması, verinin ayrılması ve hukuki akıbeti hakkında gerekçeli karar talep edilmelidir.</w:t>
      </w:r>
    </w:p>
    <w:p>
      <w:pPr>
        <w:keepLines/>
        <w:ind w:firstLine="490"/>
      </w:pPr>
      <w:r>
        <w:rPr>
          <w:rFonts w:ascii="Georgia" w:hAnsi="Georgia"/>
          <w:b/>
        </w:rPr>
        <w:t xml:space="preserve">9. </w:t>
      </w:r>
      <w:r>
        <w:rPr>
          <w:rFonts w:ascii="Georgia" w:hAnsi="Georgia"/>
        </w:rPr>
        <w:t>CMK m.80 genetik inceleme sonuçlarının kişisel veri olduğunu, başka amaçla kullanılamayacağını ve kanundaki saklama-yok etme rejimini düzenler. Ancak bu madde, m.78'e aykırı bir analizi sonradan saklama tedbiriyle hukuka uygun hâle getirmez. İlk denetim, verinin üretilip üretilmemesi aşamasında yapılır; sonuçların saklanması ve yok edilmesi ise bundan sonraki ayrı aşamadır.</w:t>
      </w:r>
    </w:p>
    <w:p>
      <w:pPr>
        <w:keepLines/>
        <w:ind w:firstLine="490"/>
      </w:pPr>
      <w:r>
        <w:rPr>
          <w:rFonts w:ascii="Georgia" w:hAnsi="Georgia"/>
          <w:b/>
        </w:rPr>
        <w:t xml:space="preserve">10. </w:t>
      </w:r>
      <w:r>
        <w:rPr>
          <w:rFonts w:ascii="Georgia" w:hAnsi="Georgia"/>
        </w:rPr>
        <w:t>Başvuru soybağı veya örnek aidiyeti yönünden gerekli incelemeyi bütünüyle engellemeyi amaçlamaz. Talep, yalnız kanunun izin verdiği karşılaştırmanın yapılması; hastalık, yatkınlık, köken, kişisel özellik veya dosyanın hukuki sorusuyla ilgisiz başka genetik bulguların araştırılmaması ve rapora alınmamasıdır. Kararın kısmen düzeltilmesi mümkünse hukuka uygun bölüm korunmalı, yasak bölüm çıkarılmalıdır.</w:t>
      </w:r>
    </w:p>
    <w:p>
      <w:pPr>
        <w:pStyle w:val="Heading1"/>
        <w:keepNext/>
      </w:pPr>
      <w:r>
        <w:rPr>
          <w:rFonts w:ascii="Georgia" w:hAnsi="Georgia"/>
          <w:b/>
          <w:sz w:val="24"/>
        </w:rPr>
        <w:t>HUKUKİ NEDENLER</w:t>
      </w:r>
    </w:p>
    <w:p>
      <w:r>
        <w:t>Anayasa m.20 ve 38/6; 5271 sayılı Ceza Muhakemesi Kanunu m.34, 75-80, 206/2-a, 217/2, 267-269; Ceza Muhakemesinde Beden Muayenesi, Genetik İncelemeler ve Fizik Kimliğin Tespiti Hakkında Yönetmelik m.12-14 ve 21; ilgili diğer mevzuat.</w:t>
      </w:r>
    </w:p>
    <w:p>
      <w:pPr>
        <w:pStyle w:val="Heading1"/>
        <w:keepNext/>
      </w:pPr>
      <w:r>
        <w:rPr>
          <w:rFonts w:ascii="Georgia" w:hAnsi="Georgia"/>
          <w:b/>
          <w:sz w:val="24"/>
        </w:rPr>
        <w:t>DELİLLER VE EKLER</w:t>
      </w:r>
    </w:p>
    <w:p>
      <w:r>
        <w:t>Ek-1 moleküler genetik inceleme kararının tam örneği; Ek-2 örnek alma, mühürleme ve muhafaza tutanağı; Ek-3 amaç dışı soruyu içeren müzekkere, iş emri, kabul formu veya ekran kaydı; Ek-4 laboratuvar kabul ve işlem durumu yazısı; Ek-5 varsa önceki başvuru ve cevap; Ek-6 kararın öğrenilme veya tebliğ belgesi; dosyadaki diğer hukuka uygun deliller.</w:t>
      </w:r>
    </w:p>
    <w:p>
      <w:pPr>
        <w:pStyle w:val="Heading1"/>
        <w:keepNext/>
      </w:pPr>
      <w:r>
        <w:rPr>
          <w:rFonts w:ascii="Georgia" w:hAnsi="Georgia"/>
          <w:b/>
          <w:sz w:val="24"/>
        </w:rPr>
        <w:t>SONUÇ VE İSTEM</w:t>
      </w:r>
    </w:p>
    <w:p>
      <w:pPr>
        <w:keepLines/>
        <w:ind w:firstLine="490"/>
      </w:pPr>
      <w:r>
        <w:rPr>
          <w:rFonts w:ascii="Georgia" w:hAnsi="Georgia"/>
          <w:b/>
        </w:rPr>
        <w:t xml:space="preserve">Açıklanan nedenlerle; </w:t>
      </w:r>
      <w:r>
        <w:rPr>
          <w:rFonts w:ascii="Georgia" w:hAnsi="Georgia"/>
        </w:rPr>
        <w:t>moleküler genetik incelemenin CMK m.78 uyarınca yalnız [soybağının belirlenmesi / elde edilen bulgunun şüpheli, sanık veya mağdura ait olup olmadığının tespiti] amacıyla sınırlandırılmasına; Ek-3'te gösterilen [amaç dışı soruyu aynen yazın] sorusunun karar, müzekkere ve laboratuvar iş emrinden çıkarılmasına; bilirkişiye yalnız karşılaştırılacak örnekleri ve cevaplanacak kanuni soruyu gösteren yeni görev yazısı gönderilmesine; yasak amaçlı analiz ve veri üretiminin yapılmamasına; itirazın kendiliğinden durdurucu etkisi bulunmadığından, bu bölüm yönünden incelemenin düzeltme kararı verilinceye kadar bekletilmesine; analiz başladıysa üretilen veri alanlarının, erişen kişilerin ve işlem tarih-saatlerinin kurumdan sorulmasına; amaç dışı veri üretildiğinin belirlenmesi hâlinde erişimin derhâl sınırlandırılması ve verinin hukuki akıbeti hakkında gerekçeli karar kurulmasına; karar ve yapılan işlemlerin tarafımıza bildirilmesine karar verilmesini saygıyla talep ederim. [Tarih]</w:t>
      </w:r>
    </w:p>
    <w:p>
      <w:pPr>
        <w:keepLines/>
        <w:jc w:val="right"/>
      </w:pPr>
      <w:r>
        <w:rPr>
          <w:rFonts w:ascii="Georgia" w:hAnsi="Georgia"/>
          <w:b/>
        </w:rPr>
        <w:t>Talepte bulunan / Müdafii / Vekili</w:t>
        <w:br/>
        <w:t>[Ad soyad]</w:t>
        <w:br/>
        <w:t>[İmza]</w:t>
      </w:r>
    </w:p>
    <w:p>
      <w:pPr>
        <w:pStyle w:val="Heading1"/>
        <w:keepNext/>
      </w:pPr>
      <w:r>
        <w:rPr>
          <w:rFonts w:ascii="Georgia" w:hAnsi="Georgia"/>
          <w:b/>
          <w:sz w:val="24"/>
        </w:rPr>
        <w:t>DOSYAYA UYARLAMA KONTROLÜ</w:t>
      </w:r>
    </w:p>
    <w:p>
      <w:pPr>
        <w:pStyle w:val="ListBullet"/>
        <w:spacing w:after="36"/>
      </w:pPr>
      <w:r>
        <w:rPr>
          <w:rFonts w:ascii="Georgia" w:hAnsi="Georgia"/>
        </w:rPr>
        <w:t>İnceleme kararının ve laboratuvar iş emrinin tam nüshasını alın; yalnız özet üzerinden amaç dışı soru iddiası kurmayın.</w:t>
      </w:r>
    </w:p>
    <w:p>
      <w:pPr>
        <w:pStyle w:val="ListBullet"/>
        <w:spacing w:after="36"/>
      </w:pPr>
      <w:r>
        <w:rPr>
          <w:rFonts w:ascii="Georgia" w:hAnsi="Georgia"/>
        </w:rPr>
        <w:t>Soybağı veya örnek aidiyeti dışında kalan soruyu belge adı, tarih, sayfa ve satırla aynen gösterin.</w:t>
      </w:r>
    </w:p>
    <w:p>
      <w:pPr>
        <w:pStyle w:val="ListBullet"/>
        <w:spacing w:after="36"/>
      </w:pPr>
      <w:r>
        <w:rPr>
          <w:rFonts w:ascii="Georgia" w:hAnsi="Georgia"/>
        </w:rPr>
        <w:t>Örneğin türünü, kodunu, mühür numarasını, laboratuvara teslim tarihini ve analiz durumunu resmî kayıttan doğrulayın.</w:t>
      </w:r>
    </w:p>
    <w:p>
      <w:pPr>
        <w:pStyle w:val="ListBullet"/>
        <w:spacing w:after="36"/>
      </w:pPr>
      <w:r>
        <w:rPr>
          <w:rFonts w:ascii="Georgia" w:hAnsi="Georgia"/>
        </w:rPr>
        <w:t>Hâkim kararına itiraz ile savcılık/laboratuvar uygulamasının düzeltilmesi talebinden yalnız olayınıza uygun olanı bırakın.</w:t>
      </w:r>
    </w:p>
    <w:p>
      <w:pPr>
        <w:pStyle w:val="ListBullet"/>
        <w:spacing w:after="36"/>
      </w:pPr>
      <w:r>
        <w:rPr>
          <w:rFonts w:ascii="Georgia" w:hAnsi="Georgia"/>
        </w:rPr>
        <w:t>İki haftalık itiraz süresinin başlangıcı için öğrenme veya tebliğ belgesini ekleyin; itirazın otomatik durdurmadığını gözden kaçırmayın.</w:t>
      </w:r>
    </w:p>
    <w:p>
      <w:pPr>
        <w:pStyle w:val="ListBullet"/>
        <w:spacing w:after="36"/>
      </w:pPr>
      <w:r>
        <w:rPr>
          <w:rFonts w:ascii="Georgia" w:hAnsi="Georgia"/>
        </w:rPr>
        <w:t>İzin verilen iki amaçtan dosyanızda gerçekten gerekli olanı seçin; kullanılmayan seçenekleri ve köşeli parantezleri silin.</w:t>
      </w:r>
    </w:p>
    <w:p>
      <w:pPr>
        <w:pStyle w:val="ListBullet"/>
        <w:spacing w:after="36"/>
      </w:pPr>
      <w:r>
        <w:rPr>
          <w:rFonts w:ascii="Georgia" w:hAnsi="Georgia"/>
        </w:rPr>
        <w:t>Amaç dışı analiz yapılmışsa bunu varsayımla değil laboratuvar kayıtlarıyla somutlaştırın; erişim ve ham veri durumunu ayrıca sorun.</w:t>
      </w:r>
    </w:p>
    <w:sectPr w:rsidR="00FC693F" w:rsidRPr="0006063C" w:rsidSect="00034616">
      <w:footerReference w:type="default" r:id="rId9"/>
      <w:pgSz w:w="12240" w:h="15840"/>
      <w:pgMar w:top="922" w:right="1066" w:bottom="864" w:left="106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6"/>
      </w:rPr>
      <w:t>CMK 78 · Genetik İncelemede Kanuni Amaç Sınırı · Düzenlenebilir Dilekçe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7" w:lineRule="auto"/>
    </w:pPr>
    <w:rPr>
      <w:rFonts w:ascii="Georgia" w:hAnsi="Georg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10" w:after="50"/>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Genetik İncelemenin Kanuni Amaçla Sınırlandırılması Talep Dilekçesi</dc:title>
  <dc:subject>CMK 78 ve Yönetmelik 12 uyarınca amaç dışı moleküler genetik inceleme sorularının çıkarılması</dc:subject>
  <dc:creator>Avukat Halil Bakırcı</dc:creator>
  <cp:keywords>CMK 78, moleküler genetik inceleme, amaç sınırlaması, DNA, dilekçe</cp:keywords>
  <dc:description>generated by python-docx</dc:description>
  <cp:lastModifiedBy/>
  <cp:revision>1</cp:revision>
  <dcterms:created xsi:type="dcterms:W3CDTF">2013-12-23T23:15:00Z</dcterms:created>
  <dcterms:modified xsi:type="dcterms:W3CDTF">2013-12-23T23:15:00Z</dcterms:modified>
  <cp:category/>
</cp:coreProperties>
</file>