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jc w:val="center"/>
      </w:pPr>
      <w:r>
        <w:rPr>
          <w:rFonts w:ascii="Georgia" w:hAnsi="Georgia"/>
          <w:b/>
          <w:sz w:val="27"/>
        </w:rPr>
        <w:t>… CUMHURİYET BAŞSAVCILIĞINA / … CEZA MAHKEMESİNE</w:t>
      </w:r>
    </w:p>
    <w:p>
      <w:pPr>
        <w:spacing w:after="160"/>
        <w:jc w:val="center"/>
      </w:pPr>
      <w:r>
        <w:rPr>
          <w:rFonts w:ascii="Georgia" w:hAnsi="Georgia"/>
          <w:b/>
        </w:rPr>
        <w:t>Moleküler genetik inceleme örneğinin kimlik bilgileri verilmeden teslimi talebidir</w:t>
      </w:r>
    </w:p>
    <w:p>
      <w:pPr>
        <w:keepLines/>
      </w:pPr>
      <w:r>
        <w:rPr>
          <w:rFonts w:ascii="Georgia" w:hAnsi="Georgia"/>
          <w:b/>
        </w:rPr>
        <w:t xml:space="preserve">DOSYA NO: </w:t>
      </w:r>
      <w:r>
        <w:rPr>
          <w:rFonts w:ascii="Georgia" w:hAnsi="Georgia"/>
        </w:rPr>
        <w:t>[Soruşturma veya esas numarası]</w:t>
      </w:r>
    </w:p>
    <w:p>
      <w:pPr>
        <w:keepLines/>
      </w:pPr>
      <w:r>
        <w:rPr>
          <w:rFonts w:ascii="Georgia" w:hAnsi="Georgia"/>
          <w:b/>
        </w:rPr>
        <w:t xml:space="preserve">TALEPTE BULUNAN: </w:t>
      </w:r>
      <w:r>
        <w:rPr>
          <w:rFonts w:ascii="Georgia" w:hAnsi="Georgia"/>
        </w:rPr>
        <w:t>[Şüpheli / sanık / mağdur / diğer kişi; ad soyad ve sıfat]</w:t>
      </w:r>
    </w:p>
    <w:p>
      <w:pPr>
        <w:keepLines/>
      </w:pPr>
      <w:r>
        <w:rPr>
          <w:rFonts w:ascii="Georgia" w:hAnsi="Georgia"/>
          <w:b/>
        </w:rPr>
        <w:t xml:space="preserve">MÜDAFİİ / VEKİLİ: </w:t>
      </w:r>
      <w:r>
        <w:rPr>
          <w:rFonts w:ascii="Georgia" w:hAnsi="Georgia"/>
        </w:rPr>
        <w:t>[Varsa avukat, baro ve sicil]</w:t>
      </w:r>
    </w:p>
    <w:p>
      <w:pPr>
        <w:keepLines/>
      </w:pPr>
      <w:r>
        <w:rPr>
          <w:rFonts w:ascii="Georgia" w:hAnsi="Georgia"/>
          <w:b/>
        </w:rPr>
        <w:t xml:space="preserve">GENETİK İNCELEME KARARI: </w:t>
      </w:r>
      <w:r>
        <w:rPr>
          <w:rFonts w:ascii="Georgia" w:hAnsi="Georgia"/>
        </w:rPr>
        <w:t>[… Hâkimliğinin / Mahkemesinin … tarih ve … sayılı kararı]</w:t>
      </w:r>
    </w:p>
    <w:p>
      <w:pPr>
        <w:keepLines/>
      </w:pPr>
      <w:r>
        <w:rPr>
          <w:rFonts w:ascii="Georgia" w:hAnsi="Georgia"/>
          <w:b/>
        </w:rPr>
        <w:t xml:space="preserve">ÖRNEK VE TESLİM DURUMU: </w:t>
      </w:r>
      <w:r>
        <w:rPr>
          <w:rFonts w:ascii="Georgia" w:hAnsi="Georgia"/>
        </w:rPr>
        <w:t>[Örnek türü, kodu, mühür numarası, bulunduğu birim, sevk tarihi]</w:t>
      </w:r>
    </w:p>
    <w:p>
      <w:pPr>
        <w:keepLines/>
      </w:pPr>
      <w:r>
        <w:rPr>
          <w:rFonts w:ascii="Georgia" w:hAnsi="Georgia"/>
          <w:b/>
        </w:rPr>
        <w:t xml:space="preserve">KONU: </w:t>
      </w:r>
      <w:r>
        <w:rPr>
          <w:rFonts w:ascii="Georgia" w:hAnsi="Georgia"/>
        </w:rPr>
        <w:t>CMK m.79/2 ve Beden Muayenesi Yönetmeliği m.13 uyarınca incelenecek bulgunun bilirkişiye ilgilinin adı, soyadı, adresi ve doğum tarihi bildirilmeden verilmesi; güvenli kod sisteminin uygulanması; kimlik içeren sevk ve etiketlerin düzeltilmesi; uygunluk sağlanıncaya kadar teslim ve analizin başlatılmaması talebidir.</w:t>
      </w:r>
    </w:p>
    <w:p>
      <w:pPr>
        <w:pStyle w:val="Heading1"/>
        <w:keepNext/>
      </w:pPr>
      <w:r>
        <w:rPr>
          <w:rFonts w:ascii="Georgia" w:hAnsi="Georgia"/>
          <w:b/>
          <w:sz w:val="24"/>
        </w:rPr>
        <w:t>AÇIKLAMALAR</w:t>
      </w:r>
    </w:p>
    <w:p>
      <w:pPr>
        <w:keepLines/>
        <w:ind w:firstLine="504"/>
      </w:pPr>
      <w:r>
        <w:rPr>
          <w:rFonts w:ascii="Georgia" w:hAnsi="Georgia"/>
          <w:b/>
        </w:rPr>
        <w:t xml:space="preserve">1. </w:t>
      </w:r>
      <w:r>
        <w:rPr>
          <w:rFonts w:ascii="Georgia" w:hAnsi="Georgia"/>
        </w:rPr>
        <w:t>… tarihli ve … sayılı hâkim / mahkeme kararıyla, [CMK m.78’deki soybağı veya bulgunun kime ait olduğunun tespiti] amacıyla moleküler genetik inceleme yapılmasına ve [kararda gösterilen bilirkişi veya ayrı laboratuvar biriminin] görevlendirilmesine karar verilmiştir. Karar Ek-1’de; örnek alma, mühürleme ve muhafaza kayıtları Ek-2’dedir.</w:t>
      </w:r>
    </w:p>
    <w:p>
      <w:pPr>
        <w:keepLines/>
        <w:ind w:firstLine="504"/>
      </w:pPr>
      <w:r>
        <w:rPr>
          <w:rFonts w:ascii="Georgia" w:hAnsi="Georgia"/>
          <w:b/>
        </w:rPr>
        <w:t xml:space="preserve">2. </w:t>
      </w:r>
      <w:r>
        <w:rPr>
          <w:rFonts w:ascii="Georgia" w:hAnsi="Georgia"/>
        </w:rPr>
        <w:t>5271 sayılı Ceza Muhakemesi Kanunu’nun 79/2. maddesinin son cümlesi açıktır: İncelenecek bulgu bilirkişiye ilgilinin adı ve soyadı, adresi ve doğum tarihi bildirilmeden verilir. Bu hüküm, yalnız raporun sonradan gizli tutulmasını değil, bulgunun bilirkişiye ilk teslim anında kimlikten ayrılmasını emreder. Sayılan dört kimlik alanı sevk üst yazısı, örnek etiketi, teslim formu veya bilirkişiye açılan elektronik kayıtta yer almamalıdır.</w:t>
      </w:r>
    </w:p>
    <w:p>
      <w:pPr>
        <w:keepLines/>
        <w:ind w:firstLine="504"/>
      </w:pPr>
      <w:r>
        <w:rPr>
          <w:rFonts w:ascii="Georgia" w:hAnsi="Georgia"/>
          <w:b/>
        </w:rPr>
        <w:t xml:space="preserve">3. </w:t>
      </w:r>
      <w:r>
        <w:rPr>
          <w:rFonts w:ascii="Georgia" w:hAnsi="Georgia"/>
        </w:rPr>
        <w:t>Ceza Muhakemesinde Beden Muayenesi, Genetik İncelemeler ve Fizik Kimliğin Tespiti Hakkında Yönetmeliğin 13. maddesi, hâkimlikler, mahkemeler ve Cumhuriyet başsavcılıklarının gizliliği sağlamak ve karışıklığı önlemek için gerekli her türlü tedbiri almasını; güvenli ve gizli bir kayıt sistemi belirlemesini; adı, soyadı, adresi ve doğum tarihi yerine bir kod sistemi uygulamasını emreder. Kod, laboratuvarın kişiyi tanımasına değil, örneğin dosya makamınca güvenli biçimde eşleştirilmesine hizmet etmelidir.</w:t>
      </w:r>
    </w:p>
    <w:p>
      <w:pPr>
        <w:keepLines/>
        <w:ind w:firstLine="504"/>
      </w:pPr>
      <w:r>
        <w:rPr>
          <w:rFonts w:ascii="Georgia" w:hAnsi="Georgia"/>
          <w:b/>
        </w:rPr>
        <w:t xml:space="preserve">4. </w:t>
      </w:r>
      <w:r>
        <w:rPr>
          <w:rFonts w:ascii="Georgia" w:hAnsi="Georgia"/>
        </w:rPr>
        <w:t>Dosyada bulunan [tarih] tarihli sevk / teslim belgesinde, bilirkişiye gönderilecek evrak arasında ilgilinin [adı ve soyadı / açık adresi / doğum tarihi / kimlik fotokopisi] yer almaktadır. Bu bilgi Ek-3’teki belgede [sayfa ve satır] olarak gösterilmiştir. Başvuru varsayıma değil, teslim öncesinde incelenen somut belgeye dayanmaktadır. Belge henüz kesinleşmemiş taslaksa bu durum ayrıca yazılmalı; gerçekte bulunmayan bir ihlal ileri sürülmemelidir.</w:t>
      </w:r>
    </w:p>
    <w:p>
      <w:pPr>
        <w:pStyle w:val="Heading1"/>
        <w:keepNext/>
      </w:pPr>
      <w:r>
        <w:rPr>
          <w:rFonts w:ascii="Georgia" w:hAnsi="Georgia"/>
          <w:b/>
          <w:sz w:val="24"/>
        </w:rPr>
        <w:t>Kimlikten Arındırma ve Teslim Kontrol Cetveli</w:t>
      </w:r>
    </w:p>
    <w:tbl>
      <w:tblPr>
        <w:tblW w:type="auto" w:w="0"/>
        <w:jc w:val="center"/>
        <w:tblLayout w:type="fixed"/>
        <w:tblLook w:firstColumn="1" w:firstRow="1" w:lastColumn="0" w:lastRow="0" w:noHBand="0" w:noVBand="1" w:val="04A0"/>
      </w:tblPr>
      <w:tblGrid>
        <w:gridCol w:w="2513"/>
        <w:gridCol w:w="2513"/>
        <w:gridCol w:w="2513"/>
        <w:gridCol w:w="2513"/>
      </w:tblGrid>
      <w:tr>
        <w:trPr>
          <w:tblHeader w:val="true"/>
        </w:trPr>
        <w:tc>
          <w:tcPr>
            <w:tcW w:type="dxa" w:w="2131"/>
            <w:vAlign w:val="center"/>
            <w:shd w:fill="1F4E78"/>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pPr>
              <w:jc w:val="center"/>
            </w:pPr>
            <w:r>
              <w:rPr>
                <w:rFonts w:ascii="Georgia" w:hAnsi="Georgia"/>
                <w:b/>
                <w:color w:val="FFFFFF"/>
                <w:sz w:val="17"/>
              </w:rPr>
              <w:t>Belge veya alan</w:t>
            </w:r>
          </w:p>
        </w:tc>
        <w:tc>
          <w:tcPr>
            <w:tcW w:type="dxa" w:w="2477"/>
            <w:vAlign w:val="center"/>
            <w:shd w:fill="1F4E78"/>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pPr>
              <w:jc w:val="center"/>
            </w:pPr>
            <w:r>
              <w:rPr>
                <w:rFonts w:ascii="Georgia" w:hAnsi="Georgia"/>
                <w:b/>
                <w:color w:val="FFFFFF"/>
                <w:sz w:val="17"/>
              </w:rPr>
              <w:t>Mevcut durum</w:t>
            </w:r>
          </w:p>
        </w:tc>
        <w:tc>
          <w:tcPr>
            <w:tcW w:type="dxa" w:w="2405"/>
            <w:vAlign w:val="center"/>
            <w:shd w:fill="1F4E78"/>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pPr>
              <w:jc w:val="center"/>
            </w:pPr>
            <w:r>
              <w:rPr>
                <w:rFonts w:ascii="Georgia" w:hAnsi="Georgia"/>
                <w:b/>
                <w:color w:val="FFFFFF"/>
                <w:sz w:val="17"/>
              </w:rPr>
              <w:t>Olması gereken</w:t>
            </w:r>
          </w:p>
        </w:tc>
        <w:tc>
          <w:tcPr>
            <w:tcW w:type="dxa" w:w="2952"/>
            <w:vAlign w:val="center"/>
            <w:shd w:fill="1F4E78"/>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pPr>
              <w:jc w:val="center"/>
            </w:pPr>
            <w:r>
              <w:rPr>
                <w:rFonts w:ascii="Georgia" w:hAnsi="Georgia"/>
                <w:b/>
                <w:color w:val="FFFFFF"/>
                <w:sz w:val="17"/>
              </w:rPr>
              <w:t>İstenen düzeltme</w:t>
            </w:r>
          </w:p>
        </w:tc>
      </w:tr>
      <w:tr>
        <w:tc>
          <w:tcPr>
            <w:tcW w:type="dxa" w:w="2131"/>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r>
              <w:rPr>
                <w:rFonts w:ascii="Georgia" w:hAnsi="Georgia"/>
                <w:sz w:val="16"/>
              </w:rPr>
              <w:t>Sevk üst yazısı</w:t>
            </w:r>
          </w:p>
        </w:tc>
        <w:tc>
          <w:tcPr>
            <w:tcW w:type="dxa" w:w="2477"/>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r>
              <w:rPr>
                <w:rFonts w:ascii="Georgia" w:hAnsi="Georgia"/>
                <w:sz w:val="16"/>
              </w:rPr>
              <w:t>[Ad-soyad/adres/doğum tarihi var]</w:t>
            </w:r>
          </w:p>
        </w:tc>
        <w:tc>
          <w:tcPr>
            <w:tcW w:type="dxa" w:w="2405"/>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r>
              <w:rPr>
                <w:rFonts w:ascii="Georgia" w:hAnsi="Georgia"/>
                <w:sz w:val="16"/>
              </w:rPr>
              <w:t>Yalnız güvenli örnek kodu</w:t>
            </w:r>
          </w:p>
        </w:tc>
        <w:tc>
          <w:tcPr>
            <w:tcW w:type="dxa" w:w="2952"/>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r>
              <w:rPr>
                <w:rFonts w:ascii="Georgia" w:hAnsi="Georgia"/>
                <w:sz w:val="16"/>
              </w:rPr>
              <w:t>Kimlik alanlarını çıkar; yeni yazı düzenle</w:t>
            </w:r>
          </w:p>
        </w:tc>
      </w:tr>
      <w:tr>
        <w:tc>
          <w:tcPr>
            <w:tcW w:type="dxa" w:w="2131"/>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shd w:fill="F3F6F8"/>
          </w:tcPr>
          <w:p>
            <w:r>
              <w:rPr>
                <w:rFonts w:ascii="Georgia" w:hAnsi="Georgia"/>
                <w:sz w:val="16"/>
              </w:rPr>
              <w:t>Tüp veya paket etiketi</w:t>
            </w:r>
          </w:p>
        </w:tc>
        <w:tc>
          <w:tcPr>
            <w:tcW w:type="dxa" w:w="2477"/>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shd w:fill="F3F6F8"/>
          </w:tcPr>
          <w:p>
            <w:r>
              <w:rPr>
                <w:rFonts w:ascii="Georgia" w:hAnsi="Georgia"/>
                <w:sz w:val="16"/>
              </w:rPr>
              <w:t>[Açık kimlik / T.C. no var]</w:t>
            </w:r>
          </w:p>
        </w:tc>
        <w:tc>
          <w:tcPr>
            <w:tcW w:type="dxa" w:w="2405"/>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shd w:fill="F3F6F8"/>
          </w:tcPr>
          <w:p>
            <w:r>
              <w:rPr>
                <w:rFonts w:ascii="Georgia" w:hAnsi="Georgia"/>
                <w:sz w:val="16"/>
              </w:rPr>
              <w:t>Kod, mühür ve örnek türü</w:t>
            </w:r>
          </w:p>
        </w:tc>
        <w:tc>
          <w:tcPr>
            <w:tcW w:type="dxa" w:w="2952"/>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shd w:fill="F3F6F8"/>
          </w:tcPr>
          <w:p>
            <w:r>
              <w:rPr>
                <w:rFonts w:ascii="Georgia" w:hAnsi="Georgia"/>
                <w:sz w:val="16"/>
              </w:rPr>
              <w:t>Kimliksiz yeni etiket; eski etiketi tutanakla iptal</w:t>
            </w:r>
          </w:p>
        </w:tc>
      </w:tr>
      <w:tr>
        <w:tc>
          <w:tcPr>
            <w:tcW w:type="dxa" w:w="2131"/>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r>
              <w:rPr>
                <w:rFonts w:ascii="Georgia" w:hAnsi="Georgia"/>
                <w:sz w:val="16"/>
              </w:rPr>
              <w:t>Teslim-tesellüm formu</w:t>
            </w:r>
          </w:p>
        </w:tc>
        <w:tc>
          <w:tcPr>
            <w:tcW w:type="dxa" w:w="2477"/>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r>
              <w:rPr>
                <w:rFonts w:ascii="Georgia" w:hAnsi="Georgia"/>
                <w:sz w:val="16"/>
              </w:rPr>
              <w:t>[Kişi bilgisi görünür]</w:t>
            </w:r>
          </w:p>
        </w:tc>
        <w:tc>
          <w:tcPr>
            <w:tcW w:type="dxa" w:w="2405"/>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r>
              <w:rPr>
                <w:rFonts w:ascii="Georgia" w:hAnsi="Georgia"/>
                <w:sz w:val="16"/>
              </w:rPr>
              <w:t>Kod ve teslim zinciri</w:t>
            </w:r>
          </w:p>
        </w:tc>
        <w:tc>
          <w:tcPr>
            <w:tcW w:type="dxa" w:w="2952"/>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r>
              <w:rPr>
                <w:rFonts w:ascii="Georgia" w:hAnsi="Georgia"/>
                <w:sz w:val="16"/>
              </w:rPr>
              <w:t>Kimliği laboratuvara açık olmayan nüsha</w:t>
            </w:r>
          </w:p>
        </w:tc>
      </w:tr>
      <w:tr>
        <w:tc>
          <w:tcPr>
            <w:tcW w:type="dxa" w:w="2131"/>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shd w:fill="F3F6F8"/>
          </w:tcPr>
          <w:p>
            <w:r>
              <w:rPr>
                <w:rFonts w:ascii="Georgia" w:hAnsi="Georgia"/>
                <w:sz w:val="16"/>
              </w:rPr>
              <w:t>Elektronik laboratuvar kaydı</w:t>
            </w:r>
          </w:p>
        </w:tc>
        <w:tc>
          <w:tcPr>
            <w:tcW w:type="dxa" w:w="2477"/>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shd w:fill="F3F6F8"/>
          </w:tcPr>
          <w:p>
            <w:r>
              <w:rPr>
                <w:rFonts w:ascii="Georgia" w:hAnsi="Georgia"/>
                <w:sz w:val="16"/>
              </w:rPr>
              <w:t>[Kimlik alanı aktarılıyor]</w:t>
            </w:r>
          </w:p>
        </w:tc>
        <w:tc>
          <w:tcPr>
            <w:tcW w:type="dxa" w:w="2405"/>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shd w:fill="F3F6F8"/>
          </w:tcPr>
          <w:p>
            <w:r>
              <w:rPr>
                <w:rFonts w:ascii="Georgia" w:hAnsi="Georgia"/>
                <w:sz w:val="16"/>
              </w:rPr>
              <w:t>Kodla açılan sınırlı kayıt</w:t>
            </w:r>
          </w:p>
        </w:tc>
        <w:tc>
          <w:tcPr>
            <w:tcW w:type="dxa" w:w="2952"/>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shd w:fill="F3F6F8"/>
          </w:tcPr>
          <w:p>
            <w:r>
              <w:rPr>
                <w:rFonts w:ascii="Georgia" w:hAnsi="Georgia"/>
                <w:sz w:val="16"/>
              </w:rPr>
              <w:t>Erişim rolünü ve aktarılacak alanları düzelt</w:t>
            </w:r>
          </w:p>
        </w:tc>
      </w:tr>
      <w:tr>
        <w:tc>
          <w:tcPr>
            <w:tcW w:type="dxa" w:w="2131"/>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r>
              <w:rPr>
                <w:rFonts w:ascii="Georgia" w:hAnsi="Georgia"/>
                <w:sz w:val="16"/>
              </w:rPr>
              <w:t>Eşleştirme anahtarı</w:t>
            </w:r>
          </w:p>
        </w:tc>
        <w:tc>
          <w:tcPr>
            <w:tcW w:type="dxa" w:w="2477"/>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r>
              <w:rPr>
                <w:rFonts w:ascii="Georgia" w:hAnsi="Georgia"/>
                <w:sz w:val="16"/>
              </w:rPr>
              <w:t>[Belirsiz / laboratuvarla paylaşılıyor]</w:t>
            </w:r>
          </w:p>
        </w:tc>
        <w:tc>
          <w:tcPr>
            <w:tcW w:type="dxa" w:w="2405"/>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r>
              <w:rPr>
                <w:rFonts w:ascii="Georgia" w:hAnsi="Georgia"/>
                <w:sz w:val="16"/>
              </w:rPr>
              <w:t>Dosya makamında ayrı ve güvenli</w:t>
            </w:r>
          </w:p>
        </w:tc>
        <w:tc>
          <w:tcPr>
            <w:tcW w:type="dxa" w:w="2952"/>
            <w:vAlign w:val="center"/>
            <w:tcBorders>
              <w:top w:val="single" w:sz="6" w:color="D6DCE2"/>
              <w:left w:val="single" w:sz="6" w:color="D6DCE2"/>
              <w:bottom w:val="single" w:sz="6" w:color="D6DCE2"/>
              <w:right w:val="single" w:sz="6" w:color="D6DCE2"/>
              <w:insideH w:val="single" w:sz="6" w:color="D6DCE2"/>
              <w:insideV w:val="single" w:sz="6" w:color="D6DCE2"/>
            </w:tcBorders>
            <w:tcMar>
              <w:top w:w="80" w:type="dxa"/>
              <w:start w:w="100" w:type="dxa"/>
              <w:bottom w:w="80" w:type="dxa"/>
              <w:end w:w="100" w:type="dxa"/>
            </w:tcMar>
          </w:tcPr>
          <w:p>
            <w:r>
              <w:rPr>
                <w:rFonts w:ascii="Georgia" w:hAnsi="Georgia"/>
                <w:sz w:val="16"/>
              </w:rPr>
              <w:t>Yetkili kişi, yer ve erişim kaydını belirle</w:t>
            </w:r>
          </w:p>
        </w:tc>
      </w:tr>
    </w:tbl>
    <w:p>
      <w:pPr>
        <w:keepLines/>
        <w:ind w:firstLine="504"/>
      </w:pPr>
      <w:r>
        <w:rPr>
          <w:rFonts w:ascii="Georgia" w:hAnsi="Georgia"/>
          <w:b/>
        </w:rPr>
        <w:t xml:space="preserve">5. </w:t>
      </w:r>
      <w:r>
        <w:rPr>
          <w:rFonts w:ascii="Georgia" w:hAnsi="Georgia"/>
        </w:rPr>
        <w:t>Kod sistemi, örneklerin karışmasını önleyecek ölçüde tekil olmalıdır. Kodun üretim tarihi, örnek türü, mühür numarası, teslim eden ve teslim alan görevliler, teslim tarih-saatleri ve paketin bütünlüğü ayrıca kayda geçirilmelidir. Buna karşılık kodun kendisi kişiyi doğrudan tanıtan adı, soyadı, T.C. kimlik numarasını, doğum tarihini veya adresi içermemelidir. Eşleştirme anahtarı laboratuvara gönderilen dosyadan ayrı tutulmalıdır.</w:t>
      </w:r>
    </w:p>
    <w:p>
      <w:pPr>
        <w:keepLines/>
        <w:ind w:firstLine="504"/>
      </w:pPr>
      <w:r>
        <w:rPr>
          <w:rFonts w:ascii="Georgia" w:hAnsi="Georgia"/>
          <w:b/>
        </w:rPr>
        <w:t xml:space="preserve">6. </w:t>
      </w:r>
      <w:r>
        <w:rPr>
          <w:rFonts w:ascii="Georgia" w:hAnsi="Georgia"/>
        </w:rPr>
        <w:t>CMK m.79/2 yalnız bilirkişiye verilmeyecek dört alanı açıkça sayar. Bu dilekçe, dosya makamının kişinin kimliğini hiç bilmemesini veya örneğin hukuken kime ait olduğunun kayıtsız kalmasını istemez. Kimlik ile örnek kodu arasındaki bağ, yetkili dosya makamınca güvenli kayıtta korunur; bilirkişiye ise incelemeyi yürütmek için gerekli kod, örnek türü, karşılaştırma grubu ve hâkim kararındaki amaç iletilir.</w:t>
      </w:r>
    </w:p>
    <w:p>
      <w:pPr>
        <w:keepLines/>
        <w:ind w:firstLine="504"/>
      </w:pPr>
      <w:r>
        <w:rPr>
          <w:rFonts w:ascii="Georgia" w:hAnsi="Georgia"/>
          <w:b/>
        </w:rPr>
        <w:t xml:space="preserve">7. </w:t>
      </w:r>
      <w:r>
        <w:rPr>
          <w:rFonts w:ascii="Georgia" w:hAnsi="Georgia"/>
        </w:rPr>
        <w:t>CMK m.78’e göre inceleme yalnız soybağının veya bulgunun şüpheli, sanık ya da mağdura ait olup olmadığının tespiti için zorunlu olduğu ölçüde yapılabilir; başka amaçlı genetik tespitler yasaktır. Kimliksiz teslim, bu amaç sınırlamasının teknik güvencelerinden biridir. Bilirkişiye inceleme amacı açıkça bildirilirken kişinin açık kimliği bildirilmemelidir.</w:t>
      </w:r>
    </w:p>
    <w:p>
      <w:pPr>
        <w:keepLines/>
        <w:ind w:firstLine="504"/>
      </w:pPr>
      <w:r>
        <w:rPr>
          <w:rFonts w:ascii="Georgia" w:hAnsi="Georgia"/>
          <w:b/>
        </w:rPr>
        <w:t xml:space="preserve">8. </w:t>
      </w:r>
      <w:r>
        <w:rPr>
          <w:rFonts w:ascii="Georgia" w:hAnsi="Georgia"/>
        </w:rPr>
        <w:t>Örnek henüz teslim edilmemişse, kimlik içeren sevk yazısı ve etiket kullanılmadan önce düzeltilmelidir. Örnek teslim edilmiş ancak analiz başlamamışsa laboratuvara yazı gönderilerek kimlik içeren belgenin inceleme dosyasından ayrılması, erişimin durdurulması, yeni kodlu belgenin oluşturulması ve işlemin bu yazıdan sonra başlatılması istenmelidir. Teslim ve erişim tarih-saatleri tutanakla belirlenmelidir.</w:t>
      </w:r>
    </w:p>
    <w:p>
      <w:pPr>
        <w:keepLines/>
        <w:ind w:firstLine="504"/>
      </w:pPr>
      <w:r>
        <w:rPr>
          <w:rFonts w:ascii="Georgia" w:hAnsi="Georgia"/>
          <w:b/>
        </w:rPr>
        <w:t xml:space="preserve">9. </w:t>
      </w:r>
      <w:r>
        <w:rPr>
          <w:rFonts w:ascii="Georgia" w:hAnsi="Georgia"/>
        </w:rPr>
        <w:t>Analiz başlamış veya kimlik bilgisi görüntülenmişse, gerçekleşmemiş bir durumu varmış gibi yazmak yerine erişimin kapsamı somutlaştırılmalıdır. Hangi belgeye kimlerin hangi tarihte eriştiği, örnek üzerinde hangi işlemlerin yapıldığı ve verinin başka sisteme aktarılıp aktarılmadığı dosya makamınca sorulmalıdır. Yeni erişim derhâl sınırlandırılmalı; düzeltilmiş teslim kaydı ve alınan teknik-idari tedbirler dosyaya konulmalıdır.</w:t>
      </w:r>
    </w:p>
    <w:p>
      <w:pPr>
        <w:keepLines/>
        <w:ind w:firstLine="504"/>
      </w:pPr>
      <w:r>
        <w:rPr>
          <w:rFonts w:ascii="Georgia" w:hAnsi="Georgia"/>
          <w:b/>
        </w:rPr>
        <w:t xml:space="preserve">10. </w:t>
      </w:r>
      <w:r>
        <w:rPr>
          <w:rFonts w:ascii="Georgia" w:hAnsi="Georgia"/>
        </w:rPr>
        <w:t>CMK m.79/2’de bu uygulama talebi için özel bir gün sayısı yoktur. Talep, sevk veya etiket öğrenilir öğrenilmez ve mümkünse örnek laboratuvara gönderilmeden sunulmalıdır. Hâkim kararının kendisi açık kimliğin bilirkişiye bildirilmesini emrediyorsa karar yönünden CMK m.267 ve m.268 uyarınca iki hafta içinde itiraz ayrıca değerlendirilir. Sadece savcılık veya yazı işleri teslim belgesindeki uygulama hatası için ise olmayan bir karar aleyhine itiraz kurulmaz; belgeyi düzenleyen dosya makamından düzeltme istenir.</w:t>
      </w:r>
    </w:p>
    <w:p>
      <w:pPr>
        <w:keepLines/>
        <w:ind w:firstLine="504"/>
      </w:pPr>
      <w:r>
        <w:rPr>
          <w:rFonts w:ascii="Georgia" w:hAnsi="Georgia"/>
          <w:b/>
        </w:rPr>
        <w:t xml:space="preserve">11. </w:t>
      </w:r>
      <w:r>
        <w:rPr>
          <w:rFonts w:ascii="Georgia" w:hAnsi="Georgia"/>
        </w:rPr>
        <w:t>Talep örneğin imhasını, ceza dosyasının sona ermesini veya genetik incelemenin tümden kaldırılmasını kendiliğinden gerektirmez. İstenen işlem, hâkim kararındaki kanuni amaç korunarak teslim aşamasının CMK m.79/2 ve Yönetmelik m.13’e uygun hâle getirilmesidir. İnceleme sonuçlarının sonraki saklama, kullanım ve erişim rejimi güncel CMK m.80’e göre ayrıca uygulanır.</w:t>
      </w:r>
    </w:p>
    <w:p>
      <w:pPr>
        <w:pStyle w:val="Heading1"/>
        <w:keepNext/>
      </w:pPr>
      <w:r>
        <w:rPr>
          <w:rFonts w:ascii="Georgia" w:hAnsi="Georgia"/>
          <w:b/>
          <w:sz w:val="24"/>
        </w:rPr>
        <w:t>HUKUKİ NEDENLER</w:t>
      </w:r>
    </w:p>
    <w:p>
      <w:r>
        <w:t>Anayasa m.20; 5271 sayılı Ceza Muhakemesi Kanunu m.34, 78, 79 ve güncel m.80; Ceza Muhakemesinde Beden Muayenesi, Genetik İncelemeler ve Fizik Kimliğin Tespiti Hakkında Yönetmelik m.12-14 ve 21; ilgili diğer mevzuat.</w:t>
      </w:r>
    </w:p>
    <w:p>
      <w:pPr>
        <w:pStyle w:val="Heading1"/>
        <w:keepNext/>
      </w:pPr>
      <w:r>
        <w:rPr>
          <w:rFonts w:ascii="Georgia" w:hAnsi="Georgia"/>
          <w:b/>
          <w:sz w:val="24"/>
        </w:rPr>
        <w:t>DELİLLER VE EKLER</w:t>
      </w:r>
    </w:p>
    <w:p>
      <w:r>
        <w:t>Ek-1 moleküler genetik inceleme kararının tam örneği; Ek-2 örnek alma, mühürleme ve muhafaza tutanağı; Ek-3 kimlik bilgisi içeren sevk, etiket, teslim veya elektronik ekran kaydı; Ek-4 laboratuvar kabul / randevu belgesi; Ek-5 varsa önceki başvuru ve kurum cevabı; Ek-6 kodlama ve teslim-tesellüm kaydı; dosyadaki diğer hukuka uygun deliller.</w:t>
      </w:r>
    </w:p>
    <w:p>
      <w:pPr>
        <w:pStyle w:val="Heading1"/>
        <w:keepNext/>
      </w:pPr>
      <w:r>
        <w:rPr>
          <w:rFonts w:ascii="Georgia" w:hAnsi="Georgia"/>
          <w:b/>
          <w:sz w:val="24"/>
        </w:rPr>
        <w:t>SONUÇ VE İSTEM</w:t>
      </w:r>
    </w:p>
    <w:p>
      <w:pPr>
        <w:keepLines/>
        <w:ind w:firstLine="504"/>
      </w:pPr>
      <w:r>
        <w:rPr>
          <w:rFonts w:ascii="Georgia" w:hAnsi="Georgia"/>
          <w:b/>
        </w:rPr>
        <w:t xml:space="preserve">Açıklanan nedenlerle; </w:t>
      </w:r>
      <w:r>
        <w:rPr>
          <w:rFonts w:ascii="Georgia" w:hAnsi="Georgia"/>
        </w:rPr>
        <w:t>moleküler genetik incelemeye konu [örnek türü] örneğinin bilirkişiye ilgilinin adı, soyadı, adresi ve doğum tarihi bildirilmeden verilmesine; Yönetmelik m.13’e uygun tekil ve güvenli kod oluşturulmasına; kimlik içeren sevk yazısı, etiket, teslim formu ve elektronik aktarım alanlarının kullanılmamasına ve düzeltilmiş belgelerin düzenlenmesine; eşleştirme anahtarının dosya makamında ayrı ve sınırlı erişimli kayıtta tutulmasına; uygunluk sağlanıncaya kadar örneğin laboratuvara gönderilmemesine ve analizin başlatılmamasına; örnek teslim edilmişse mevcut erişim ve işlem kayıtlarının istenmesine, yeni erişimin sınırlandırılmasına ve laboratuvara düzeltilmiş kodlu yazının gönderilmesine; yapılan işlemlerin tarih-saat ve imzayla tutanağa bağlanmasına karar verilmesini saygıyla talep ederim. [Tarih]</w:t>
      </w:r>
    </w:p>
    <w:p>
      <w:pPr>
        <w:keepLines/>
        <w:jc w:val="right"/>
      </w:pPr>
      <w:r>
        <w:rPr>
          <w:rFonts w:ascii="Georgia" w:hAnsi="Georgia"/>
          <w:b/>
        </w:rPr>
        <w:t>Talepte bulunan / Müdafii / Vekili</w:t>
        <w:br/>
        <w:t>[Ad soyad]</w:t>
        <w:br/>
        <w:t>[İmza]</w:t>
      </w:r>
    </w:p>
    <w:p>
      <w:pPr>
        <w:pStyle w:val="Heading1"/>
        <w:keepNext/>
      </w:pPr>
      <w:r>
        <w:rPr>
          <w:rFonts w:ascii="Georgia" w:hAnsi="Georgia"/>
          <w:b/>
          <w:sz w:val="24"/>
        </w:rPr>
        <w:t>DOSYAYA UYARLAMA KONTROLÜ</w:t>
      </w:r>
    </w:p>
    <w:p>
      <w:pPr>
        <w:pStyle w:val="ListBullet"/>
        <w:spacing w:after="40"/>
      </w:pPr>
      <w:r>
        <w:rPr>
          <w:rFonts w:ascii="Georgia" w:hAnsi="Georgia"/>
        </w:rPr>
        <w:t>Genetik inceleme kararının merci, tarih, sayı, amacı ve görevlendirilen bilirkişi bölümünü tam karardan aktarın.</w:t>
      </w:r>
    </w:p>
    <w:p>
      <w:pPr>
        <w:pStyle w:val="ListBullet"/>
        <w:spacing w:after="40"/>
      </w:pPr>
      <w:r>
        <w:rPr>
          <w:rFonts w:ascii="Georgia" w:hAnsi="Georgia"/>
        </w:rPr>
        <w:t>Kimlik bilgisinin gerçekten hangi sevk, etiket, form veya ekranda bulunduğunu sayfa ve alan belirterek yazın.</w:t>
      </w:r>
    </w:p>
    <w:p>
      <w:pPr>
        <w:pStyle w:val="ListBullet"/>
        <w:spacing w:after="40"/>
      </w:pPr>
      <w:r>
        <w:rPr>
          <w:rFonts w:ascii="Georgia" w:hAnsi="Georgia"/>
        </w:rPr>
        <w:t>Örnek türü, kodu, mühür numarası, bulunduğu yer ve teslim aşamasını resmî kayıttan doğrulayın.</w:t>
      </w:r>
    </w:p>
    <w:p>
      <w:pPr>
        <w:pStyle w:val="ListBullet"/>
        <w:spacing w:after="40"/>
      </w:pPr>
      <w:r>
        <w:rPr>
          <w:rFonts w:ascii="Georgia" w:hAnsi="Georgia"/>
        </w:rPr>
        <w:t>Teslim edilmedi, teslim edildi veya analiz başladı seçeneklerinden yalnız dosyanıza uyan bölümü bırakın.</w:t>
      </w:r>
    </w:p>
    <w:p>
      <w:pPr>
        <w:pStyle w:val="ListBullet"/>
        <w:spacing w:after="40"/>
      </w:pPr>
      <w:r>
        <w:rPr>
          <w:rFonts w:ascii="Georgia" w:hAnsi="Georgia"/>
        </w:rPr>
        <w:t>Ad, soyad, adres ve doğum tarihinin laboratuvara giden nüshadan çıkarıldığını tek tek kontrol edin.</w:t>
      </w:r>
    </w:p>
    <w:p>
      <w:pPr>
        <w:pStyle w:val="ListBullet"/>
        <w:spacing w:after="40"/>
      </w:pPr>
      <w:r>
        <w:rPr>
          <w:rFonts w:ascii="Georgia" w:hAnsi="Georgia"/>
        </w:rPr>
        <w:t>Kodun doğrudan kimlik verisi içermediğini; eşleştirme anahtarının laboratuvar evrakından ayrı tutulduğunu doğrulayın.</w:t>
      </w:r>
    </w:p>
    <w:p>
      <w:pPr>
        <w:pStyle w:val="ListBullet"/>
        <w:spacing w:after="40"/>
      </w:pPr>
      <w:r>
        <w:rPr>
          <w:rFonts w:ascii="Georgia" w:hAnsi="Georgia"/>
        </w:rPr>
        <w:t>Ek listesindeki bulunmayan belgeleri silin; kişisel veri içeren ekleri gereksiz kişilere çoğaltmayın.</w:t>
      </w:r>
    </w:p>
    <w:sectPr w:rsidR="00FC693F" w:rsidRPr="0006063C" w:rsidSect="00034616">
      <w:footerReference w:type="default" r:id="rId9"/>
      <w:pgSz w:w="12240" w:h="15840"/>
      <w:pgMar w:top="950" w:right="1094" w:bottom="893" w:left="109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eorgia" w:hAnsi="Georgia"/>
        <w:color w:val="404040"/>
        <w:sz w:val="16"/>
      </w:rPr>
      <w:t>CMK 79/2 · Genetik Örneğin Kimliksiz Teslimi · Düzenlenebilir Dilekçe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0" w:lineRule="auto"/>
    </w:pPr>
    <w:rPr>
      <w:rFonts w:ascii="Georgia" w:hAnsi="Georgia"/>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60"/>
      <w:outlineLvl w:val="0"/>
    </w:pPr>
    <w:rPr>
      <w:rFonts w:asciiTheme="majorHAnsi" w:eastAsiaTheme="majorEastAsia" w:hAnsiTheme="majorHAnsi" w:cstheme="majorBidi" w:ascii="Georgia" w:hAnsi="Georgia"/>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eorgia" w:hAnsi="Georgia"/>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Genetik İncelemede Örneğin Kimlik Bilgileri Verilmeden Bilirkişiye Teslimi Talep Dilekçesi</dc:title>
  <dc:subject>CMK 79/2 ve Yönetmelik 13 uyarınca kod sistemi ve kimliksiz teslim talebi</dc:subject>
  <dc:creator>Avukat Halil Bakırcı</dc:creator>
  <cp:keywords>CMK 79/2, genetik örnek, kimliksiz teslim, kod sistemi, dilekçe</cp:keywords>
  <dc:description>generated by python-docx</dc:description>
  <cp:lastModifiedBy/>
  <cp:revision>1</cp:revision>
  <dcterms:created xsi:type="dcterms:W3CDTF">2013-12-23T23:15:00Z</dcterms:created>
  <dcterms:modified xsi:type="dcterms:W3CDTF">2013-12-23T23:15:00Z</dcterms:modified>
  <cp:category/>
</cp:coreProperties>
</file>