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20"/>
        <w:jc w:val="center"/>
      </w:pPr>
      <w:r>
        <w:rPr>
          <w:rFonts w:ascii="Georgia" w:hAnsi="Georgia"/>
          <w:b/>
          <w:sz w:val="24"/>
        </w:rPr>
        <w:t>YER CUMHURİYET BAŞSAVCILIĞINA</w:t>
      </w:r>
    </w:p>
    <w:p>
      <w:pPr>
        <w:spacing w:after="80"/>
        <w:jc w:val="center"/>
      </w:pPr>
      <w:r>
        <w:rPr>
          <w:rFonts w:ascii="Georgia" w:hAnsi="Georgia"/>
          <w:b/>
          <w:sz w:val="18"/>
        </w:rPr>
        <w:t>CMK 93 kapsamında kişi ve nakil özelinde somut belirti denetimi talebidir</w:t>
      </w:r>
    </w:p>
    <w:p>
      <w:pPr>
        <w:keepLines/>
      </w:pPr>
      <w:r>
        <w:rPr>
          <w:rFonts w:ascii="Georgia" w:hAnsi="Georgia"/>
          <w:b/>
        </w:rPr>
        <w:t xml:space="preserve">DOSYA NO: </w:t>
      </w:r>
      <w:r>
        <w:rPr>
          <w:rFonts w:ascii="Georgia" w:hAnsi="Georgia"/>
        </w:rPr>
        <w:t>[Soruşturma / esas numarası]</w:t>
      </w:r>
    </w:p>
    <w:p>
      <w:pPr>
        <w:keepLines/>
      </w:pPr>
      <w:r>
        <w:rPr>
          <w:rFonts w:ascii="Georgia" w:hAnsi="Georgia"/>
          <w:b/>
        </w:rPr>
        <w:t xml:space="preserve">TALEPTE BULUNAN: </w:t>
      </w:r>
      <w:r>
        <w:rPr>
          <w:rFonts w:ascii="Georgia" w:hAnsi="Georgia"/>
        </w:rPr>
        <w:t>[Ad soyad, T.C. kimlik numarası ve adres]</w:t>
      </w:r>
    </w:p>
    <w:p>
      <w:pPr>
        <w:keepLines/>
      </w:pPr>
      <w:r>
        <w:rPr>
          <w:rFonts w:ascii="Georgia" w:hAnsi="Georgia"/>
          <w:b/>
        </w:rPr>
        <w:t xml:space="preserve">MÜDAFİİ: </w:t>
      </w:r>
      <w:r>
        <w:rPr>
          <w:rFonts w:ascii="Georgia" w:hAnsi="Georgia"/>
        </w:rPr>
        <w:t>[Varsa avukatın adı, barosu, sicili ve UETS]</w:t>
      </w:r>
    </w:p>
    <w:p>
      <w:pPr>
        <w:keepLines/>
      </w:pPr>
      <w:r>
        <w:rPr>
          <w:rFonts w:ascii="Georgia" w:hAnsi="Georgia"/>
          <w:b/>
        </w:rPr>
        <w:t xml:space="preserve">İLGİLİ İŞLEM: </w:t>
      </w:r>
      <w:r>
        <w:rPr>
          <w:rFonts w:ascii="Georgia" w:hAnsi="Georgia"/>
        </w:rPr>
        <w:t>[Tarih, saat, yer, birim ve tutanak]</w:t>
      </w:r>
    </w:p>
    <w:p>
      <w:pPr>
        <w:keepLines/>
      </w:pPr>
      <w:r>
        <w:rPr>
          <w:rFonts w:ascii="Georgia" w:hAnsi="Georgia"/>
          <w:b/>
        </w:rPr>
        <w:t xml:space="preserve">KONU: </w:t>
      </w:r>
      <w:r>
        <w:rPr>
          <w:rFonts w:ascii="Georgia" w:hAnsi="Georgia"/>
        </w:rPr>
        <w:t>CMK m.93 koşulları bulunmadıkça nakilde kelepçe takılmaması; aksi değerlendirmede dayanak, süre ve sağlık kayıtlarının tutulması.</w:t>
      </w:r>
    </w:p>
    <w:p>
      <w:pPr>
        <w:pStyle w:val="Heading1"/>
        <w:keepNext/>
      </w:pPr>
      <w:r>
        <w:rPr>
          <w:rFonts w:ascii="Georgia" w:hAnsi="Georgia"/>
          <w:b/>
          <w:sz w:val="22"/>
        </w:rPr>
        <w:t>TALEBİN ÖZETİ</w:t>
      </w:r>
    </w:p>
    <w:p>
      <w:pPr>
        <w:keepLines/>
      </w:pPr>
      <w:r>
        <w:rPr>
          <w:rFonts w:ascii="Georgia" w:hAnsi="Georgia"/>
        </w:rPr>
        <w:t xml:space="preserve">Müvekkil [ad soyad], [tarih-saat] için düzenlenen [sevk/nakil] yazısıyla [başlangıç birimi] ile [varış birimi] arasında nakledilecektir. Hukuki statüsü [yakalanan/tutuklanan] olup nakil emrinin tarih ve numarası Ek-1'de gösterilmiştir. </w:t>
      </w:r>
      <w:r>
        <w:rPr>
          <w:rFonts w:ascii="Georgia" w:hAnsi="Georgia"/>
          <w:b/>
        </w:rPr>
        <w:t>Başvuru, dosyada bulunmayan bir olguyu varsaymadan kanuni şartların belge ve zaman çizelgesi üzerinden denetlenmesini ister.</w:t>
      </w:r>
    </w:p>
    <w:p>
      <w:pPr>
        <w:pStyle w:val="Heading1"/>
        <w:keepNext/>
      </w:pPr>
      <w:r>
        <w:rPr>
          <w:rFonts w:ascii="Georgia" w:hAnsi="Georgia"/>
          <w:b/>
          <w:sz w:val="22"/>
        </w:rPr>
        <w:t>AÇIKLAMALAR</w:t>
      </w:r>
    </w:p>
    <w:p>
      <w:pPr>
        <w:keepLines/>
        <w:ind w:firstLine="360"/>
      </w:pPr>
      <w:r>
        <w:rPr>
          <w:rFonts w:ascii="Georgia" w:hAnsi="Georgia"/>
          <w:b/>
        </w:rPr>
        <w:t xml:space="preserve">1. </w:t>
      </w:r>
      <w:r>
        <w:rPr>
          <w:rFonts w:ascii="Georgia" w:hAnsi="Georgia"/>
        </w:rPr>
        <w:t>Müvekkil [ad soyad], [tarih-saat] için düzenlenen [sevk/nakil] yazısıyla [başlangıç birimi] ile [varış birimi] arasında nakledilecektir. Hukuki statüsü [yakalanan/tutuklanan] olup nakil emrinin tarih ve numarası Ek-1'de gösterilmiştir.</w:t>
      </w:r>
    </w:p>
    <w:p>
      <w:pPr>
        <w:keepLines/>
        <w:ind w:firstLine="360"/>
      </w:pPr>
      <w:r>
        <w:rPr>
          <w:rFonts w:ascii="Georgia" w:hAnsi="Georgia"/>
          <w:b/>
        </w:rPr>
        <w:t xml:space="preserve">2. </w:t>
      </w:r>
      <w:r>
        <w:rPr>
          <w:rFonts w:ascii="Georgia" w:hAnsi="Georgia"/>
        </w:rPr>
        <w:t>CMK m.93 uyarınca kelepçe, yalnız kişinin kaçacağına veya kendisi ya da başkalarının hayat ve beden bütünlüğü bakımından tehlike arz ettiğine ilişkin belirtiler varsa takılabilir. Yakalanmış veya tutuklanmış olmak tek başına otomatik kelepçe sebebi değildir.</w:t>
      </w:r>
    </w:p>
    <w:p>
      <w:pPr>
        <w:keepLines/>
        <w:ind w:firstLine="360"/>
      </w:pPr>
      <w:r>
        <w:rPr>
          <w:rFonts w:ascii="Georgia" w:hAnsi="Georgia"/>
          <w:b/>
        </w:rPr>
        <w:t xml:space="preserve">3. </w:t>
      </w:r>
      <w:r>
        <w:rPr>
          <w:rFonts w:ascii="Georgia" w:hAnsi="Georgia"/>
        </w:rPr>
        <w:t>Dosyadaki [önceki nakil tutanağı] içinde kaçma girişimi, saldırı, kendine zarar verme veya emre direnme kaydı bulunmadığı belirtilmiştir. Aksi yönde kayıt mevcutsa bunun belge adı, tarih, saat ve somut davranışla açıklanması istenmektedir.</w:t>
      </w:r>
    </w:p>
    <w:p>
      <w:pPr>
        <w:keepLines/>
        <w:ind w:firstLine="360"/>
      </w:pPr>
      <w:r>
        <w:rPr>
          <w:rFonts w:ascii="Georgia" w:hAnsi="Georgia"/>
          <w:b/>
        </w:rPr>
        <w:t xml:space="preserve">4. </w:t>
      </w:r>
      <w:r>
        <w:rPr>
          <w:rFonts w:ascii="Georgia" w:hAnsi="Georgia"/>
        </w:rPr>
        <w:t>Müvekkilin [sağ/sol] bileğinde [raporda yazılı gerçek bulgu] vardır. [Tarih] tarihli hekim raporu, nakil ve kelepçe uygulamasıyla bağlantılı kısmı sınırlı tutularak Ek-2'de sunulmuştur; raporda bulunmayan tıbbî sonuç ileri sürülmemektedir.</w:t>
      </w:r>
    </w:p>
    <w:p>
      <w:pPr>
        <w:keepLines/>
        <w:ind w:firstLine="360"/>
      </w:pPr>
      <w:r>
        <w:rPr>
          <w:rFonts w:ascii="Georgia" w:hAnsi="Georgia"/>
          <w:b/>
        </w:rPr>
        <w:t xml:space="preserve">5. </w:t>
      </w:r>
      <w:r>
        <w:rPr>
          <w:rFonts w:ascii="Georgia" w:hAnsi="Georgia"/>
        </w:rPr>
        <w:t>Kaçma ihtimaline ilişkin değerlendirme, suç adı veya ceza miktarıyla değil, kişi ve planlanan nakille bağlantılı güncel belirtilerle kurulmalıdır. Önceki usulüne uygun sevklerin sorunsuz tamamlandığına ilişkin kayıtlar bu nedenle dosyaya alınmalıdır.</w:t>
      </w:r>
    </w:p>
    <w:p>
      <w:pPr>
        <w:keepLines/>
        <w:ind w:firstLine="360"/>
      </w:pPr>
      <w:r>
        <w:rPr>
          <w:rFonts w:ascii="Georgia" w:hAnsi="Georgia"/>
          <w:b/>
        </w:rPr>
        <w:t xml:space="preserve">6. </w:t>
      </w:r>
      <w:r>
        <w:rPr>
          <w:rFonts w:ascii="Georgia" w:hAnsi="Georgia"/>
        </w:rPr>
        <w:t>Hayat ve beden bütünlüğü tehlikesi yönünden müvekkilin kendisine veya başkasına yönelik hangi güncel davranışının esas alındığı gösterilmelidir. Genel güvenlik sınıflandırması somut belirtinin yerini tutmamalıdır.</w:t>
      </w:r>
    </w:p>
    <w:p>
      <w:pPr>
        <w:keepLines/>
        <w:ind w:firstLine="360"/>
      </w:pPr>
      <w:r>
        <w:rPr>
          <w:rFonts w:ascii="Georgia" w:hAnsi="Georgia"/>
          <w:b/>
        </w:rPr>
        <w:t xml:space="preserve">7. </w:t>
      </w:r>
      <w:r>
        <w:rPr>
          <w:rFonts w:ascii="Georgia" w:hAnsi="Georgia"/>
        </w:rPr>
        <w:t>Kelepçe uygulanmasına karar verilirse başlangıç ve bitiş saati, uygulama türü, kararı uygulayan görevliler, dayanak alınan belirti ve yapılan ara kontroller nakil tutanağında ayrı alanlarda kaydedilmelidir.</w:t>
      </w:r>
    </w:p>
    <w:p>
      <w:pPr>
        <w:keepLines/>
        <w:ind w:firstLine="360"/>
      </w:pPr>
      <w:r>
        <w:rPr>
          <w:rFonts w:ascii="Georgia" w:hAnsi="Georgia"/>
          <w:b/>
        </w:rPr>
        <w:t xml:space="preserve">8. </w:t>
      </w:r>
      <w:r>
        <w:rPr>
          <w:rFonts w:ascii="Georgia" w:hAnsi="Georgia"/>
        </w:rPr>
        <w:t>Nakil sırasında ağrı, uyuşma, renk değişikliği veya başka sağlık yakınması bildirilirse bildirim saati, kelepçenin kontrolü ve sağlık birimine başvuru işlemi tutanağa yazılmalıdır. Başvuru tıbbî teşhis değil, kayıt ve güvenlik talebidir.</w:t>
      </w:r>
    </w:p>
    <w:p>
      <w:pPr>
        <w:keepLines/>
        <w:ind w:firstLine="360"/>
      </w:pPr>
      <w:r>
        <w:rPr>
          <w:rFonts w:ascii="Georgia" w:hAnsi="Georgia"/>
          <w:b/>
        </w:rPr>
        <w:t xml:space="preserve">9. </w:t>
      </w:r>
      <w:r>
        <w:rPr>
          <w:rFonts w:ascii="Georgia" w:hAnsi="Georgia"/>
        </w:rPr>
        <w:t>Karar veya talimatın fiilî nakli gerçekleştirecek birime işlem başlamadan iletilmesi ve teslim alan görevlinin kayda geçirilmesi gerekmektedir. Böylece dosya kararı ile sahadaki uygulama arasında izlenebilir bağlantı kurulur.</w:t>
      </w:r>
    </w:p>
    <w:p>
      <w:pPr>
        <w:pStyle w:val="Heading1"/>
        <w:keepNext/>
      </w:pPr>
      <w:r>
        <w:rPr>
          <w:rFonts w:ascii="Georgia" w:hAnsi="Georgia"/>
          <w:b/>
          <w:sz w:val="22"/>
        </w:rPr>
        <w:t>OLAY VE KANUNİ ŞART DENETİM ÇİZELGESİ</w:t>
      </w:r>
    </w:p>
    <w:tbl>
      <w:tblPr>
        <w:tblW w:type="auto" w:w="0"/>
        <w:jc w:val="center"/>
        <w:tblLayout w:type="fixed"/>
        <w:tblLook w:firstColumn="1" w:firstRow="1" w:lastColumn="0" w:lastRow="0" w:noHBand="0" w:noVBand="1" w:val="04A0"/>
      </w:tblPr>
      <w:tblGrid>
        <w:gridCol w:w="2599"/>
        <w:gridCol w:w="2599"/>
        <w:gridCol w:w="2599"/>
        <w:gridCol w:w="2599"/>
      </w:tblGrid>
      <w:tr>
        <w:trPr>
          <w:tblHeader w:val="true"/>
        </w:trPr>
        <w:tc>
          <w:tcPr>
            <w:tcW w:type="dxa" w:w="2016"/>
            <w:vAlign w:val="center"/>
            <w:shd w:fill="1F4E78"/>
            <w:tcBorders>
              <w:top w:val="single" w:sz="6" w:color="D9D9D9"/>
              <w:left w:val="single" w:sz="6" w:color="D9D9D9"/>
              <w:bottom w:val="single" w:sz="6" w:color="D9D9D9"/>
              <w:right w:val="single" w:sz="6" w:color="D9D9D9"/>
              <w:insideH w:val="single" w:sz="6" w:color="D9D9D9"/>
              <w:insideV w:val="single" w:sz="6" w:color="D9D9D9"/>
            </w:tcBorders>
          </w:tcPr>
          <w:p>
            <w:pPr>
              <w:jc w:val="center"/>
            </w:pPr>
            <w:r>
              <w:rPr>
                <w:rFonts w:ascii="Georgia" w:hAnsi="Georgia"/>
                <w:b/>
                <w:color w:val="FFFFFF"/>
                <w:sz w:val="15"/>
              </w:rPr>
              <w:t>Denetim ölçütü</w:t>
            </w:r>
          </w:p>
        </w:tc>
        <w:tc>
          <w:tcPr>
            <w:tcW w:type="dxa" w:w="2664"/>
            <w:vAlign w:val="center"/>
            <w:shd w:fill="1F4E78"/>
            <w:tcBorders>
              <w:top w:val="single" w:sz="6" w:color="D9D9D9"/>
              <w:left w:val="single" w:sz="6" w:color="D9D9D9"/>
              <w:bottom w:val="single" w:sz="6" w:color="D9D9D9"/>
              <w:right w:val="single" w:sz="6" w:color="D9D9D9"/>
              <w:insideH w:val="single" w:sz="6" w:color="D9D9D9"/>
              <w:insideV w:val="single" w:sz="6" w:color="D9D9D9"/>
            </w:tcBorders>
          </w:tcPr>
          <w:p>
            <w:pPr>
              <w:jc w:val="center"/>
            </w:pPr>
            <w:r>
              <w:rPr>
                <w:rFonts w:ascii="Georgia" w:hAnsi="Georgia"/>
                <w:b/>
                <w:color w:val="FFFFFF"/>
                <w:sz w:val="15"/>
              </w:rPr>
              <w:t>Dosyadaki kayıt</w:t>
            </w:r>
          </w:p>
        </w:tc>
        <w:tc>
          <w:tcPr>
            <w:tcW w:type="dxa" w:w="2477"/>
            <w:vAlign w:val="center"/>
            <w:shd w:fill="1F4E78"/>
            <w:tcBorders>
              <w:top w:val="single" w:sz="6" w:color="D9D9D9"/>
              <w:left w:val="single" w:sz="6" w:color="D9D9D9"/>
              <w:bottom w:val="single" w:sz="6" w:color="D9D9D9"/>
              <w:right w:val="single" w:sz="6" w:color="D9D9D9"/>
              <w:insideH w:val="single" w:sz="6" w:color="D9D9D9"/>
              <w:insideV w:val="single" w:sz="6" w:color="D9D9D9"/>
            </w:tcBorders>
          </w:tcPr>
          <w:p>
            <w:pPr>
              <w:jc w:val="center"/>
            </w:pPr>
            <w:r>
              <w:rPr>
                <w:rFonts w:ascii="Georgia" w:hAnsi="Georgia"/>
                <w:b/>
                <w:color w:val="FFFFFF"/>
                <w:sz w:val="15"/>
              </w:rPr>
              <w:t>Tarih/Belge</w:t>
            </w:r>
          </w:p>
        </w:tc>
        <w:tc>
          <w:tcPr>
            <w:tcW w:type="dxa" w:w="3024"/>
            <w:vAlign w:val="center"/>
            <w:shd w:fill="1F4E78"/>
            <w:tcBorders>
              <w:top w:val="single" w:sz="6" w:color="D9D9D9"/>
              <w:left w:val="single" w:sz="6" w:color="D9D9D9"/>
              <w:bottom w:val="single" w:sz="6" w:color="D9D9D9"/>
              <w:right w:val="single" w:sz="6" w:color="D9D9D9"/>
              <w:insideH w:val="single" w:sz="6" w:color="D9D9D9"/>
              <w:insideV w:val="single" w:sz="6" w:color="D9D9D9"/>
            </w:tcBorders>
          </w:tcPr>
          <w:p>
            <w:pPr>
              <w:jc w:val="center"/>
            </w:pPr>
            <w:r>
              <w:rPr>
                <w:rFonts w:ascii="Georgia" w:hAnsi="Georgia"/>
                <w:b/>
                <w:color w:val="FFFFFF"/>
                <w:sz w:val="15"/>
              </w:rPr>
              <w:t>İstenen işlem</w:t>
            </w:r>
          </w:p>
        </w:tc>
      </w:tr>
      <w:tr>
        <w:tc>
          <w:tcPr>
            <w:tcW w:type="dxa" w:w="2016"/>
            <w:tcBorders>
              <w:top w:val="single" w:sz="6" w:color="D9D9D9"/>
              <w:left w:val="single" w:sz="6" w:color="D9D9D9"/>
              <w:bottom w:val="single" w:sz="6" w:color="D9D9D9"/>
              <w:right w:val="single" w:sz="6" w:color="D9D9D9"/>
              <w:insideH w:val="single" w:sz="6" w:color="D9D9D9"/>
              <w:insideV w:val="single" w:sz="6" w:color="D9D9D9"/>
            </w:tcBorders>
            <w:vAlign w:val="center"/>
          </w:tcPr>
          <w:p>
            <w:r>
              <w:rPr>
                <w:rFonts w:ascii="Georgia" w:hAnsi="Georgia"/>
                <w:sz w:val="15"/>
              </w:rPr>
              <w:t>Kaçma belirtisi</w:t>
            </w:r>
          </w:p>
        </w:tc>
        <w:tc>
          <w:tcPr>
            <w:tcW w:type="dxa" w:w="2664"/>
            <w:tcBorders>
              <w:top w:val="single" w:sz="6" w:color="D9D9D9"/>
              <w:left w:val="single" w:sz="6" w:color="D9D9D9"/>
              <w:bottom w:val="single" w:sz="6" w:color="D9D9D9"/>
              <w:right w:val="single" w:sz="6" w:color="D9D9D9"/>
              <w:insideH w:val="single" w:sz="6" w:color="D9D9D9"/>
              <w:insideV w:val="single" w:sz="6" w:color="D9D9D9"/>
            </w:tcBorders>
            <w:vAlign w:val="center"/>
          </w:tcPr>
          <w:p>
            <w:r>
              <w:rPr>
                <w:rFonts w:ascii="Georgia" w:hAnsi="Georgia"/>
                <w:sz w:val="15"/>
              </w:rPr>
              <w:t>[Varsa somut davranış]</w:t>
            </w:r>
          </w:p>
        </w:tc>
        <w:tc>
          <w:tcPr>
            <w:tcW w:type="dxa" w:w="2477"/>
            <w:tcBorders>
              <w:top w:val="single" w:sz="6" w:color="D9D9D9"/>
              <w:left w:val="single" w:sz="6" w:color="D9D9D9"/>
              <w:bottom w:val="single" w:sz="6" w:color="D9D9D9"/>
              <w:right w:val="single" w:sz="6" w:color="D9D9D9"/>
              <w:insideH w:val="single" w:sz="6" w:color="D9D9D9"/>
              <w:insideV w:val="single" w:sz="6" w:color="D9D9D9"/>
            </w:tcBorders>
            <w:vAlign w:val="center"/>
          </w:tcPr>
          <w:p>
            <w:r>
              <w:rPr>
                <w:rFonts w:ascii="Georgia" w:hAnsi="Georgia"/>
                <w:sz w:val="15"/>
              </w:rPr>
              <w:t>[Tarih-tutanak]</w:t>
            </w:r>
          </w:p>
        </w:tc>
        <w:tc>
          <w:tcPr>
            <w:tcW w:type="dxa" w:w="3024"/>
            <w:tcBorders>
              <w:top w:val="single" w:sz="6" w:color="D9D9D9"/>
              <w:left w:val="single" w:sz="6" w:color="D9D9D9"/>
              <w:bottom w:val="single" w:sz="6" w:color="D9D9D9"/>
              <w:right w:val="single" w:sz="6" w:color="D9D9D9"/>
              <w:insideH w:val="single" w:sz="6" w:color="D9D9D9"/>
              <w:insideV w:val="single" w:sz="6" w:color="D9D9D9"/>
            </w:tcBorders>
            <w:vAlign w:val="center"/>
          </w:tcPr>
          <w:p>
            <w:r>
              <w:rPr>
                <w:rFonts w:ascii="Georgia" w:hAnsi="Georgia"/>
                <w:sz w:val="15"/>
              </w:rPr>
              <w:t>Kişi ve nakil özelinde değerlendirme</w:t>
            </w:r>
          </w:p>
        </w:tc>
      </w:tr>
      <w:tr>
        <w:tc>
          <w:tcPr>
            <w:tcW w:type="dxa" w:w="2016"/>
            <w:tcBorders>
              <w:top w:val="single" w:sz="6" w:color="D9D9D9"/>
              <w:left w:val="single" w:sz="6" w:color="D9D9D9"/>
              <w:bottom w:val="single" w:sz="6" w:color="D9D9D9"/>
              <w:right w:val="single" w:sz="6" w:color="D9D9D9"/>
              <w:insideH w:val="single" w:sz="6" w:color="D9D9D9"/>
              <w:insideV w:val="single" w:sz="6" w:color="D9D9D9"/>
            </w:tcBorders>
            <w:vAlign w:val="center"/>
            <w:shd w:fill="F3F6F8"/>
          </w:tcPr>
          <w:p>
            <w:r>
              <w:rPr>
                <w:rFonts w:ascii="Georgia" w:hAnsi="Georgia"/>
                <w:sz w:val="15"/>
              </w:rPr>
              <w:t>Hayat/beden tehlikesi</w:t>
            </w:r>
          </w:p>
        </w:tc>
        <w:tc>
          <w:tcPr>
            <w:tcW w:type="dxa" w:w="2664"/>
            <w:tcBorders>
              <w:top w:val="single" w:sz="6" w:color="D9D9D9"/>
              <w:left w:val="single" w:sz="6" w:color="D9D9D9"/>
              <w:bottom w:val="single" w:sz="6" w:color="D9D9D9"/>
              <w:right w:val="single" w:sz="6" w:color="D9D9D9"/>
              <w:insideH w:val="single" w:sz="6" w:color="D9D9D9"/>
              <w:insideV w:val="single" w:sz="6" w:color="D9D9D9"/>
            </w:tcBorders>
            <w:vAlign w:val="center"/>
            <w:shd w:fill="F3F6F8"/>
          </w:tcPr>
          <w:p>
            <w:r>
              <w:rPr>
                <w:rFonts w:ascii="Georgia" w:hAnsi="Georgia"/>
                <w:sz w:val="15"/>
              </w:rPr>
              <w:t>[Varsa güncel olgu]</w:t>
            </w:r>
          </w:p>
        </w:tc>
        <w:tc>
          <w:tcPr>
            <w:tcW w:type="dxa" w:w="2477"/>
            <w:tcBorders>
              <w:top w:val="single" w:sz="6" w:color="D9D9D9"/>
              <w:left w:val="single" w:sz="6" w:color="D9D9D9"/>
              <w:bottom w:val="single" w:sz="6" w:color="D9D9D9"/>
              <w:right w:val="single" w:sz="6" w:color="D9D9D9"/>
              <w:insideH w:val="single" w:sz="6" w:color="D9D9D9"/>
              <w:insideV w:val="single" w:sz="6" w:color="D9D9D9"/>
            </w:tcBorders>
            <w:vAlign w:val="center"/>
            <w:shd w:fill="F3F6F8"/>
          </w:tcPr>
          <w:p>
            <w:r>
              <w:rPr>
                <w:rFonts w:ascii="Georgia" w:hAnsi="Georgia"/>
                <w:sz w:val="15"/>
              </w:rPr>
              <w:t>[Tarih-kayıt]</w:t>
            </w:r>
          </w:p>
        </w:tc>
        <w:tc>
          <w:tcPr>
            <w:tcW w:type="dxa" w:w="3024"/>
            <w:tcBorders>
              <w:top w:val="single" w:sz="6" w:color="D9D9D9"/>
              <w:left w:val="single" w:sz="6" w:color="D9D9D9"/>
              <w:bottom w:val="single" w:sz="6" w:color="D9D9D9"/>
              <w:right w:val="single" w:sz="6" w:color="D9D9D9"/>
              <w:insideH w:val="single" w:sz="6" w:color="D9D9D9"/>
              <w:insideV w:val="single" w:sz="6" w:color="D9D9D9"/>
            </w:tcBorders>
            <w:vAlign w:val="center"/>
            <w:shd w:fill="F3F6F8"/>
          </w:tcPr>
          <w:p>
            <w:r>
              <w:rPr>
                <w:rFonts w:ascii="Georgia" w:hAnsi="Georgia"/>
                <w:sz w:val="15"/>
              </w:rPr>
              <w:t>Somut dayanağın gösterilmesi</w:t>
            </w:r>
          </w:p>
        </w:tc>
      </w:tr>
      <w:tr>
        <w:tc>
          <w:tcPr>
            <w:tcW w:type="dxa" w:w="2016"/>
            <w:tcBorders>
              <w:top w:val="single" w:sz="6" w:color="D9D9D9"/>
              <w:left w:val="single" w:sz="6" w:color="D9D9D9"/>
              <w:bottom w:val="single" w:sz="6" w:color="D9D9D9"/>
              <w:right w:val="single" w:sz="6" w:color="D9D9D9"/>
              <w:insideH w:val="single" w:sz="6" w:color="D9D9D9"/>
              <w:insideV w:val="single" w:sz="6" w:color="D9D9D9"/>
            </w:tcBorders>
            <w:vAlign w:val="center"/>
          </w:tcPr>
          <w:p>
            <w:r>
              <w:rPr>
                <w:rFonts w:ascii="Georgia" w:hAnsi="Georgia"/>
                <w:sz w:val="15"/>
              </w:rPr>
              <w:t>Sağlık durumu</w:t>
            </w:r>
          </w:p>
        </w:tc>
        <w:tc>
          <w:tcPr>
            <w:tcW w:type="dxa" w:w="2664"/>
            <w:tcBorders>
              <w:top w:val="single" w:sz="6" w:color="D9D9D9"/>
              <w:left w:val="single" w:sz="6" w:color="D9D9D9"/>
              <w:bottom w:val="single" w:sz="6" w:color="D9D9D9"/>
              <w:right w:val="single" w:sz="6" w:color="D9D9D9"/>
              <w:insideH w:val="single" w:sz="6" w:color="D9D9D9"/>
              <w:insideV w:val="single" w:sz="6" w:color="D9D9D9"/>
            </w:tcBorders>
            <w:vAlign w:val="center"/>
          </w:tcPr>
          <w:p>
            <w:r>
              <w:rPr>
                <w:rFonts w:ascii="Georgia" w:hAnsi="Georgia"/>
                <w:sz w:val="15"/>
              </w:rPr>
              <w:t>[Rapordaki gerçek bulgu]</w:t>
            </w:r>
          </w:p>
        </w:tc>
        <w:tc>
          <w:tcPr>
            <w:tcW w:type="dxa" w:w="2477"/>
            <w:tcBorders>
              <w:top w:val="single" w:sz="6" w:color="D9D9D9"/>
              <w:left w:val="single" w:sz="6" w:color="D9D9D9"/>
              <w:bottom w:val="single" w:sz="6" w:color="D9D9D9"/>
              <w:right w:val="single" w:sz="6" w:color="D9D9D9"/>
              <w:insideH w:val="single" w:sz="6" w:color="D9D9D9"/>
              <w:insideV w:val="single" w:sz="6" w:color="D9D9D9"/>
            </w:tcBorders>
            <w:vAlign w:val="center"/>
          </w:tcPr>
          <w:p>
            <w:r>
              <w:rPr>
                <w:rFonts w:ascii="Georgia" w:hAnsi="Georgia"/>
                <w:sz w:val="15"/>
              </w:rPr>
              <w:t>[Rapor tarihi]</w:t>
            </w:r>
          </w:p>
        </w:tc>
        <w:tc>
          <w:tcPr>
            <w:tcW w:type="dxa" w:w="3024"/>
            <w:tcBorders>
              <w:top w:val="single" w:sz="6" w:color="D9D9D9"/>
              <w:left w:val="single" w:sz="6" w:color="D9D9D9"/>
              <w:bottom w:val="single" w:sz="6" w:color="D9D9D9"/>
              <w:right w:val="single" w:sz="6" w:color="D9D9D9"/>
              <w:insideH w:val="single" w:sz="6" w:color="D9D9D9"/>
              <w:insideV w:val="single" w:sz="6" w:color="D9D9D9"/>
            </w:tcBorders>
            <w:vAlign w:val="center"/>
          </w:tcPr>
          <w:p>
            <w:r>
              <w:rPr>
                <w:rFonts w:ascii="Georgia" w:hAnsi="Georgia"/>
                <w:sz w:val="15"/>
              </w:rPr>
              <w:t>Uygun güvenlik ve sağlık önlemi</w:t>
            </w:r>
          </w:p>
        </w:tc>
      </w:tr>
      <w:tr>
        <w:tc>
          <w:tcPr>
            <w:tcW w:type="dxa" w:w="2016"/>
            <w:tcBorders>
              <w:top w:val="single" w:sz="6" w:color="D9D9D9"/>
              <w:left w:val="single" w:sz="6" w:color="D9D9D9"/>
              <w:bottom w:val="single" w:sz="6" w:color="D9D9D9"/>
              <w:right w:val="single" w:sz="6" w:color="D9D9D9"/>
              <w:insideH w:val="single" w:sz="6" w:color="D9D9D9"/>
              <w:insideV w:val="single" w:sz="6" w:color="D9D9D9"/>
            </w:tcBorders>
            <w:vAlign w:val="center"/>
            <w:shd w:fill="F3F6F8"/>
          </w:tcPr>
          <w:p>
            <w:r>
              <w:rPr>
                <w:rFonts w:ascii="Georgia" w:hAnsi="Georgia"/>
                <w:sz w:val="15"/>
              </w:rPr>
              <w:t>Uygulama kaydı</w:t>
            </w:r>
          </w:p>
        </w:tc>
        <w:tc>
          <w:tcPr>
            <w:tcW w:type="dxa" w:w="2664"/>
            <w:tcBorders>
              <w:top w:val="single" w:sz="6" w:color="D9D9D9"/>
              <w:left w:val="single" w:sz="6" w:color="D9D9D9"/>
              <w:bottom w:val="single" w:sz="6" w:color="D9D9D9"/>
              <w:right w:val="single" w:sz="6" w:color="D9D9D9"/>
              <w:insideH w:val="single" w:sz="6" w:color="D9D9D9"/>
              <w:insideV w:val="single" w:sz="6" w:color="D9D9D9"/>
            </w:tcBorders>
            <w:vAlign w:val="center"/>
            <w:shd w:fill="F3F6F8"/>
          </w:tcPr>
          <w:p>
            <w:r>
              <w:rPr>
                <w:rFonts w:ascii="Georgia" w:hAnsi="Georgia"/>
                <w:sz w:val="15"/>
              </w:rPr>
              <w:t>[Başlangıç-bitiş]</w:t>
            </w:r>
          </w:p>
        </w:tc>
        <w:tc>
          <w:tcPr>
            <w:tcW w:type="dxa" w:w="2477"/>
            <w:tcBorders>
              <w:top w:val="single" w:sz="6" w:color="D9D9D9"/>
              <w:left w:val="single" w:sz="6" w:color="D9D9D9"/>
              <w:bottom w:val="single" w:sz="6" w:color="D9D9D9"/>
              <w:right w:val="single" w:sz="6" w:color="D9D9D9"/>
              <w:insideH w:val="single" w:sz="6" w:color="D9D9D9"/>
              <w:insideV w:val="single" w:sz="6" w:color="D9D9D9"/>
            </w:tcBorders>
            <w:vAlign w:val="center"/>
            <w:shd w:fill="F3F6F8"/>
          </w:tcPr>
          <w:p>
            <w:r>
              <w:rPr>
                <w:rFonts w:ascii="Georgia" w:hAnsi="Georgia"/>
                <w:sz w:val="15"/>
              </w:rPr>
              <w:t>[Nakil tutanağı]</w:t>
            </w:r>
          </w:p>
        </w:tc>
        <w:tc>
          <w:tcPr>
            <w:tcW w:type="dxa" w:w="3024"/>
            <w:tcBorders>
              <w:top w:val="single" w:sz="6" w:color="D9D9D9"/>
              <w:left w:val="single" w:sz="6" w:color="D9D9D9"/>
              <w:bottom w:val="single" w:sz="6" w:color="D9D9D9"/>
              <w:right w:val="single" w:sz="6" w:color="D9D9D9"/>
              <w:insideH w:val="single" w:sz="6" w:color="D9D9D9"/>
              <w:insideV w:val="single" w:sz="6" w:color="D9D9D9"/>
            </w:tcBorders>
            <w:vAlign w:val="center"/>
            <w:shd w:fill="F3F6F8"/>
          </w:tcPr>
          <w:p>
            <w:r>
              <w:rPr>
                <w:rFonts w:ascii="Georgia" w:hAnsi="Georgia"/>
                <w:sz w:val="15"/>
              </w:rPr>
              <w:t>Süre, görevli ve kontrollerin yazılması</w:t>
            </w:r>
          </w:p>
        </w:tc>
      </w:tr>
    </w:tbl>
    <w:p>
      <w:pPr>
        <w:pStyle w:val="Heading1"/>
        <w:keepNext/>
      </w:pPr>
      <w:r>
        <w:rPr>
          <w:rFonts w:ascii="Georgia" w:hAnsi="Georgia"/>
          <w:b/>
          <w:sz w:val="22"/>
        </w:rPr>
        <w:t>HUKUKİ NEDENLER</w:t>
      </w:r>
    </w:p>
    <w:p>
      <w:r>
        <w:t>Anayasa m.17, 19 ve 36; 5271 sayılı Ceza Muhakemesi Kanunu m.90, 93 ve 169; Yakalama, Gözaltına Alma ve İfade Alma Yönetmeliği m.7, somut gözaltı nakli bakımından m.9 ve ilgili diğer mevzuat.</w:t>
      </w:r>
    </w:p>
    <w:p>
      <w:pPr>
        <w:pStyle w:val="Heading1"/>
        <w:keepNext/>
      </w:pPr>
      <w:r>
        <w:rPr>
          <w:rFonts w:ascii="Georgia" w:hAnsi="Georgia"/>
          <w:b/>
          <w:sz w:val="22"/>
        </w:rPr>
        <w:t>DELİLLER VE EKLER</w:t>
      </w:r>
    </w:p>
    <w:p>
      <w:r>
        <w:t>Nakil/sevk yazısı, yakalama veya tutuklama kararı, önceki nakil tutanakları, olay ve risk değerlendirme kayıtları, gerekli kapsamla sınırlı hekim raporu, giriş-çıkış ve araç kayıtları, kamera kayıtlarının muhafaza yazısı, uygulama ve sağlık müdahale tutanakları.</w:t>
      </w:r>
    </w:p>
    <w:p>
      <w:pPr>
        <w:pStyle w:val="Heading1"/>
        <w:keepNext/>
      </w:pPr>
      <w:r>
        <w:rPr>
          <w:rFonts w:ascii="Georgia" w:hAnsi="Georgia"/>
          <w:b/>
          <w:sz w:val="22"/>
        </w:rPr>
        <w:t>SONUÇ VE İSTEM</w:t>
      </w:r>
    </w:p>
    <w:p>
      <w:pPr>
        <w:keepLines/>
      </w:pPr>
      <w:r>
        <w:rPr>
          <w:rFonts w:ascii="Georgia" w:hAnsi="Georgia"/>
          <w:b/>
        </w:rPr>
        <w:t xml:space="preserve">Açıklanan nedenlerle; </w:t>
      </w:r>
      <w:r>
        <w:rPr>
          <w:rFonts w:ascii="Georgia" w:hAnsi="Georgia"/>
        </w:rPr>
        <w:t>CMK m.93'teki kaçma veya hayat ve beden bütünlüğü tehlikesine ilişkin somut belirtiler bulunmadıkça planlanan nakilde kelepçe takılmamasına; Aksi değerlendirmede hangi kanuni koşulun hangi tarihli gerçek kayda dayandığının yazılı olarak gösterilmesine; Uygulamanın başlangıç-bitiş saatleri, türü, görevlileri ve ara kontrollerinin nakil tutanağına yazılmasına; Mevcut hekim raporunun nakil güvenliği yönünden değerlendirilmesine ve bildirilen yakınmaların gecikmeden kaydedilmesine; Talep ve kararın fiilî nakli yapacak birime işlem başlamadan iletilmesine; İlgili araç, kamera, giriş-çıkış ve sağlık kayıtlarının silinmeden korunup dosyaya alınmasına; gerekli kayıt ve belgelerin dosyaya alınmasına karar verilmesini saygıyla talep ederim. [Tarih]</w:t>
      </w:r>
    </w:p>
    <w:p>
      <w:pPr>
        <w:keepLines/>
        <w:jc w:val="right"/>
      </w:pPr>
      <w:r>
        <w:rPr>
          <w:rFonts w:ascii="Georgia" w:hAnsi="Georgia"/>
          <w:b/>
        </w:rPr>
        <w:t>Talepte Bulunan / Müdafii</w:t>
        <w:br/>
        <w:t>[Ad soyad]</w:t>
        <w:br/>
        <w:t>[İmza]</w:t>
      </w:r>
    </w:p>
    <w:p>
      <w:pPr>
        <w:pStyle w:val="Heading1"/>
        <w:keepNext/>
      </w:pPr>
      <w:r>
        <w:rPr>
          <w:rFonts w:ascii="Georgia" w:hAnsi="Georgia"/>
          <w:b/>
          <w:sz w:val="22"/>
        </w:rPr>
        <w:t>DOSYAYA UYARLAMA KONTROLÜ</w:t>
      </w:r>
    </w:p>
    <w:p>
      <w:pPr>
        <w:pStyle w:val="ListBullet"/>
        <w:spacing w:after="20"/>
      </w:pPr>
      <w:r>
        <w:rPr>
          <w:rFonts w:ascii="Georgia" w:hAnsi="Georgia"/>
          <w:sz w:val="17"/>
        </w:rPr>
        <w:t>Kişinin hukuki statüsünü ve nakil emrini doğrulayın.</w:t>
      </w:r>
    </w:p>
    <w:p>
      <w:pPr>
        <w:pStyle w:val="ListBullet"/>
        <w:spacing w:after="20"/>
      </w:pPr>
      <w:r>
        <w:rPr>
          <w:rFonts w:ascii="Georgia" w:hAnsi="Georgia"/>
          <w:sz w:val="17"/>
        </w:rPr>
        <w:t>Başlangıç-varış birimi ile tarih ve saati yazın.</w:t>
      </w:r>
    </w:p>
    <w:p>
      <w:pPr>
        <w:pStyle w:val="ListBullet"/>
        <w:spacing w:after="20"/>
      </w:pPr>
      <w:r>
        <w:rPr>
          <w:rFonts w:ascii="Georgia" w:hAnsi="Georgia"/>
          <w:sz w:val="17"/>
        </w:rPr>
        <w:t>Kaçma ve beden bütünlüğü ölçütlerini birbirinden ayırın.</w:t>
      </w:r>
    </w:p>
    <w:p>
      <w:pPr>
        <w:pStyle w:val="ListBullet"/>
        <w:spacing w:after="20"/>
      </w:pPr>
      <w:r>
        <w:rPr>
          <w:rFonts w:ascii="Georgia" w:hAnsi="Georgia"/>
          <w:sz w:val="17"/>
        </w:rPr>
        <w:t>Sağlık raporunda olmayan sonucu eklemeyin.</w:t>
      </w:r>
    </w:p>
    <w:p>
      <w:pPr>
        <w:pStyle w:val="ListBullet"/>
        <w:spacing w:after="20"/>
      </w:pPr>
      <w:r>
        <w:rPr>
          <w:rFonts w:ascii="Georgia" w:hAnsi="Georgia"/>
          <w:sz w:val="17"/>
        </w:rPr>
        <w:t>Uygulama süresi ve görevliler için ayrı kayıt isteyin.</w:t>
      </w:r>
    </w:p>
    <w:p>
      <w:pPr>
        <w:pStyle w:val="ListBullet"/>
        <w:spacing w:after="20"/>
      </w:pPr>
      <w:r>
        <w:rPr>
          <w:rFonts w:ascii="Georgia" w:hAnsi="Georgia"/>
          <w:sz w:val="17"/>
        </w:rPr>
        <w:t>Kararın nakil birimine ulaştığını belgeleyin.</w:t>
      </w:r>
    </w:p>
    <w:sectPr w:rsidR="00FC693F" w:rsidRPr="0006063C" w:rsidSect="00034616">
      <w:footerReference w:type="default" r:id="rId9"/>
      <w:pgSz w:w="12240" w:h="15840"/>
      <w:pgMar w:top="691" w:right="922" w:bottom="662" w:left="92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Georgia" w:hAnsi="Georgia"/>
        <w:color w:val="464646"/>
        <w:sz w:val="15"/>
      </w:rPr>
      <w:t>Nakilde Kelepçe Takılmaması Dilekçesi — CMK 93 Word</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36" w:line="240" w:lineRule="auto"/>
    </w:pPr>
    <w:rPr>
      <w:rFonts w:ascii="Georgia" w:hAnsi="Georgia"/>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64" w:after="26"/>
      <w:outlineLvl w:val="0"/>
    </w:pPr>
    <w:rPr>
      <w:rFonts w:asciiTheme="majorHAnsi" w:eastAsiaTheme="majorEastAsia" w:hAnsiTheme="majorHAnsi" w:cstheme="majorBidi" w:ascii="Georgia" w:hAnsi="Georgia"/>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Georgia" w:hAnsi="Georgia"/>
      <w:b/>
      <w:color w:val="000000"/>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Nakil Sırasında Kelepçe Takılmaması Talep Dilekçesi</dc:title>
  <dc:subject>CMK m.93 koşulları bulunmadıkça nakilde kelepçe takılmaması; aksi değerlendirmede dayanak, süre ve sağlık kayıtlarının tutulması</dc:subject>
  <dc:creator>Avukat Halil Bakırcı</dc:creator>
  <cp:keywords>nakil sırasında kelepçe takılmaması dilekçesi</cp:keywords>
  <dc:description>generated by python-docx</dc:description>
  <cp:lastModifiedBy/>
  <cp:revision>1</cp:revision>
  <dcterms:created xsi:type="dcterms:W3CDTF">2013-12-23T23:15:00Z</dcterms:created>
  <dcterms:modified xsi:type="dcterms:W3CDTF">2013-12-23T23:15:00Z</dcterms:modified>
  <cp:category/>
</cp:coreProperties>
</file>